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b/>
          <w:sz w:val="48"/>
          <w:szCs w:val="48"/>
          <w:lang w:eastAsia="zh-CN"/>
        </w:rPr>
        <w:t>2026-2028年电梯维保服务项目</w:t>
      </w: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4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w:t>
      </w:r>
      <w:r>
        <w:rPr>
          <w:rFonts w:hint="eastAsia" w:ascii="宋体" w:hAnsi="宋体" w:cs="宋体"/>
          <w:b w:val="0"/>
          <w:bCs w:val="0"/>
          <w:i w:val="0"/>
          <w:iCs w:val="0"/>
          <w:caps w:val="0"/>
          <w:color w:val="auto"/>
          <w:spacing w:val="0"/>
          <w:kern w:val="0"/>
          <w:sz w:val="28"/>
          <w:szCs w:val="28"/>
          <w:shd w:val="clear" w:fill="FFFFFF"/>
          <w:lang w:val="en-US" w:eastAsia="zh-CN" w:bidi="ar"/>
        </w:rPr>
        <w:t>心2026-2028年电梯维保服务</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w:t>
      </w:r>
    </w:p>
    <w:p w14:paraId="5CAF5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二、预算金额：78000元/3年</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r>
        <w:rPr>
          <w:rFonts w:hint="eastAsia" w:ascii="宋体" w:hAnsi="宋体" w:cs="宋体"/>
          <w:b w:val="0"/>
          <w:bCs w:val="0"/>
          <w:i w:val="0"/>
          <w:iCs w:val="0"/>
          <w:caps w:val="0"/>
          <w:color w:val="auto"/>
          <w:spacing w:val="0"/>
          <w:kern w:val="0"/>
          <w:sz w:val="28"/>
          <w:szCs w:val="28"/>
          <w:shd w:val="clear" w:fill="FFFFFF"/>
          <w:lang w:val="en-US" w:eastAsia="zh-CN" w:bidi="ar"/>
        </w:rPr>
        <w:t>详见附件采购文件</w:t>
      </w:r>
    </w:p>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院内比选</w:t>
      </w:r>
    </w:p>
    <w:p w14:paraId="571A88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101DFCF8">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5E460336">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0223AD72">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7E2E2794">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59B5BEF2">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16D21FB8">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19003F18">
      <w:pPr>
        <w:pStyle w:val="13"/>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57F6B91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15032591">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7.2</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4AAABA2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7.3具有特种设备安装维修许可乘客电梯、载货电梯B级及以上资质。</w:t>
      </w:r>
    </w:p>
    <w:p w14:paraId="120B2BE9">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7.4资阳市质量技术监督局电梯维修保养备案证明文件。</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7.5本项目不接受联合体参选；不允许项目转包或分包。</w:t>
      </w:r>
    </w:p>
    <w:p w14:paraId="56B30C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74B6B0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14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39025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177629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34EA7C3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15</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:30前邮寄或送达至资阳市雁江区雷音大街512号雁江区妇幼保健计划生育服务中心采购科（门诊楼425室 王老师收）</w:t>
      </w:r>
    </w:p>
    <w:p w14:paraId="005BDF46">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八、开标时间、地点：另行通知</w:t>
      </w:r>
    </w:p>
    <w:p w14:paraId="7427C0EC">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九、地址及联系方式：</w:t>
      </w:r>
    </w:p>
    <w:p w14:paraId="72352D24">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w:t>
      </w:r>
      <w:r>
        <w:rPr>
          <w:rFonts w:hint="eastAsia" w:ascii="宋体" w:hAnsi="宋体" w:cs="宋体"/>
          <w:b w:val="0"/>
          <w:bCs w:val="0"/>
          <w:i w:val="0"/>
          <w:iCs w:val="0"/>
          <w:caps w:val="0"/>
          <w:color w:val="auto"/>
          <w:spacing w:val="0"/>
          <w:kern w:val="0"/>
          <w:sz w:val="28"/>
          <w:szCs w:val="28"/>
          <w:shd w:val="clear" w:fill="FFFFFF"/>
          <w:lang w:val="en-US" w:eastAsia="zh-CN" w:bidi="ar"/>
        </w:rPr>
        <w:t>街</w:t>
      </w:r>
      <w:r>
        <w:rPr>
          <w:rFonts w:hint="eastAsia" w:ascii="宋体" w:hAnsi="宋体" w:eastAsia="宋体" w:cs="宋体"/>
          <w:b w:val="0"/>
          <w:bCs w:val="0"/>
          <w:i w:val="0"/>
          <w:iCs w:val="0"/>
          <w:caps w:val="0"/>
          <w:color w:val="auto"/>
          <w:spacing w:val="0"/>
          <w:kern w:val="0"/>
          <w:sz w:val="28"/>
          <w:szCs w:val="28"/>
          <w:shd w:val="clear" w:fill="FFFFFF"/>
          <w:lang w:val="en-US" w:eastAsia="zh-CN" w:bidi="ar"/>
        </w:rPr>
        <w:t>512号雁江区妇幼保健</w:t>
      </w:r>
      <w:r>
        <w:rPr>
          <w:rFonts w:hint="eastAsia" w:ascii="宋体" w:hAnsi="宋体" w:cs="宋体"/>
          <w:b w:val="0"/>
          <w:bCs w:val="0"/>
          <w:i w:val="0"/>
          <w:iCs w:val="0"/>
          <w:caps w:val="0"/>
          <w:color w:val="auto"/>
          <w:spacing w:val="0"/>
          <w:kern w:val="0"/>
          <w:sz w:val="28"/>
          <w:szCs w:val="28"/>
          <w:shd w:val="clear" w:fill="FFFFFF"/>
          <w:lang w:val="en-US" w:eastAsia="zh-CN" w:bidi="ar"/>
        </w:rPr>
        <w:t>计划生育服务中心</w:t>
      </w:r>
    </w:p>
    <w:p w14:paraId="3E63268C">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后勤总务科</w:t>
      </w:r>
      <w:r>
        <w:rPr>
          <w:rFonts w:hint="eastAsia" w:ascii="宋体" w:hAnsi="宋体" w:eastAsia="宋体" w:cs="宋体"/>
          <w:b w:val="0"/>
          <w:bCs w:val="0"/>
          <w:i w:val="0"/>
          <w:iCs w:val="0"/>
          <w:caps w:val="0"/>
          <w:color w:val="auto"/>
          <w:spacing w:val="0"/>
          <w:kern w:val="0"/>
          <w:sz w:val="28"/>
          <w:szCs w:val="28"/>
          <w:shd w:val="clear" w:fill="FFFFFF"/>
          <w:lang w:val="en-US" w:eastAsia="zh-CN" w:bidi="ar"/>
        </w:rPr>
        <w:t>：028-23055938</w:t>
      </w:r>
    </w:p>
    <w:p w14:paraId="6F79ABF2">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5544FA2F">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监督电话：028-23065867</w:t>
      </w:r>
    </w:p>
    <w:p w14:paraId="28448F7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3"/>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6"/>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5"/>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cs="Times New Roman"/>
                <w:sz w:val="24"/>
                <w:lang w:eastAsia="zh-CN"/>
              </w:rPr>
              <w:t>2026-2028年电梯维保服务</w:t>
            </w:r>
            <w:r>
              <w:rPr>
                <w:rFonts w:hint="eastAsia" w:ascii="宋体" w:hAnsi="宋体" w:eastAsia="宋体" w:cs="Times New Roman"/>
                <w:sz w:val="24"/>
                <w:lang w:eastAsia="zh-CN"/>
              </w:rPr>
              <w:t>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及最高限价</w:t>
            </w:r>
          </w:p>
        </w:tc>
        <w:tc>
          <w:tcPr>
            <w:tcW w:w="6432" w:type="dxa"/>
            <w:tcBorders>
              <w:left w:val="single" w:color="auto" w:sz="4" w:space="0"/>
              <w:right w:val="single" w:color="auto" w:sz="4" w:space="0"/>
            </w:tcBorders>
            <w:noWrap w:val="0"/>
            <w:vAlign w:val="center"/>
          </w:tcPr>
          <w:p w14:paraId="62D0A7D0">
            <w:pPr>
              <w:widowControl/>
              <w:spacing w:line="400" w:lineRule="exact"/>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本项目分1个包</w:t>
            </w:r>
          </w:p>
          <w:p w14:paraId="15DE6E17">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eastAsia="宋体" w:cs="Times New Roman"/>
                <w:kern w:val="2"/>
                <w:sz w:val="24"/>
                <w:szCs w:val="24"/>
                <w:lang w:val="en-US" w:eastAsia="zh-CN" w:bidi="ar-SA"/>
              </w:rPr>
              <w:t>最高限价：</w:t>
            </w:r>
            <w:r>
              <w:rPr>
                <w:rFonts w:hint="eastAsia" w:ascii="宋体" w:hAnsi="宋体" w:cs="Times New Roman"/>
                <w:kern w:val="2"/>
                <w:sz w:val="24"/>
                <w:szCs w:val="24"/>
                <w:lang w:val="en-US" w:eastAsia="zh-CN" w:bidi="ar-SA"/>
              </w:rPr>
              <w:t>78</w:t>
            </w:r>
            <w:r>
              <w:rPr>
                <w:rFonts w:hint="eastAsia" w:ascii="宋体" w:hAnsi="宋体" w:eastAsia="宋体" w:cs="Times New Roman"/>
                <w:kern w:val="2"/>
                <w:sz w:val="24"/>
                <w:szCs w:val="24"/>
                <w:lang w:val="en-US" w:eastAsia="zh-CN" w:bidi="ar-SA"/>
              </w:rPr>
              <w:t>000元/3年</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16FA5CB2">
            <w:pPr>
              <w:pStyle w:val="12"/>
              <w:numPr>
                <w:ilvl w:val="0"/>
                <w:numId w:val="0"/>
              </w:numP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eastAsia="宋体" w:cs="Times New Roman"/>
                <w:sz w:val="24"/>
                <w:lang w:val="en-US" w:eastAsia="zh-CN"/>
              </w:rPr>
              <w:t>医院现有10台电梯的维护保养维修服务</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8" w:space="0"/>
            </w:tcBorders>
            <w:noWrap w:val="0"/>
            <w:vAlign w:val="center"/>
          </w:tcPr>
          <w:p w14:paraId="7CB80E2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val="en-US" w:eastAsia="zh-CN"/>
              </w:rPr>
              <w:t>3年。合同一年一签。</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noWrap w:val="0"/>
            <w:vAlign w:val="center"/>
          </w:tcPr>
          <w:p w14:paraId="2BB68D5A">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A899C2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r>
              <w:rPr>
                <w:rFonts w:hint="eastAsia" w:cs="宋体"/>
                <w:color w:val="000000"/>
                <w:kern w:val="0"/>
                <w:sz w:val="24"/>
                <w:szCs w:val="24"/>
                <w:lang w:val="en-US" w:eastAsia="zh-CN" w:bidi="ar"/>
              </w:rPr>
              <w:t>（提供承诺函）</w:t>
            </w:r>
          </w:p>
          <w:p w14:paraId="0D6A6CC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r>
              <w:rPr>
                <w:rFonts w:hint="eastAsia" w:cs="宋体"/>
                <w:color w:val="000000"/>
                <w:kern w:val="0"/>
                <w:sz w:val="24"/>
                <w:szCs w:val="24"/>
                <w:lang w:val="en-US" w:eastAsia="zh-CN" w:bidi="ar"/>
              </w:rPr>
              <w:t>（提供承诺函）</w:t>
            </w:r>
          </w:p>
          <w:p w14:paraId="552E8F91">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r>
              <w:rPr>
                <w:rFonts w:hint="eastAsia" w:cs="宋体"/>
                <w:color w:val="000000"/>
                <w:kern w:val="0"/>
                <w:sz w:val="24"/>
                <w:szCs w:val="24"/>
                <w:lang w:val="en-US" w:eastAsia="zh-CN" w:bidi="ar"/>
              </w:rPr>
              <w:t>（提供承诺函）</w:t>
            </w:r>
          </w:p>
          <w:p w14:paraId="01837A9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r>
              <w:rPr>
                <w:rFonts w:hint="eastAsia" w:cs="宋体"/>
                <w:color w:val="000000"/>
                <w:kern w:val="0"/>
                <w:sz w:val="24"/>
                <w:szCs w:val="24"/>
                <w:lang w:val="en-US" w:eastAsia="zh-CN" w:bidi="ar"/>
              </w:rPr>
              <w:t>（提供承诺函）</w:t>
            </w:r>
          </w:p>
          <w:p w14:paraId="202CEAF6">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r>
              <w:rPr>
                <w:rFonts w:hint="eastAsia" w:cs="宋体"/>
                <w:color w:val="000000"/>
                <w:kern w:val="0"/>
                <w:sz w:val="24"/>
                <w:szCs w:val="24"/>
                <w:lang w:val="en-US" w:eastAsia="zh-CN" w:bidi="ar"/>
              </w:rPr>
              <w:t>（提供承诺函）</w:t>
            </w:r>
          </w:p>
          <w:p w14:paraId="5648AC4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kern w:val="2"/>
                <w:sz w:val="24"/>
                <w:szCs w:val="24"/>
                <w:lang w:val="en-US" w:eastAsia="zh-CN" w:bidi="ar-SA"/>
              </w:rPr>
              <w:t>法律、行政法规规定的其他条件。 （提供承诺函）</w:t>
            </w:r>
          </w:p>
          <w:p w14:paraId="0D52F47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采购</w:t>
            </w:r>
            <w:r>
              <w:rPr>
                <w:rFonts w:hint="default" w:ascii="宋体" w:hAnsi="宋体" w:eastAsia="宋体" w:cs="宋体"/>
                <w:kern w:val="2"/>
                <w:sz w:val="24"/>
                <w:szCs w:val="24"/>
                <w:lang w:val="en-US" w:eastAsia="zh-CN" w:bidi="ar-SA"/>
              </w:rPr>
              <w:t>项目提出的特殊条件</w:t>
            </w:r>
            <w:r>
              <w:rPr>
                <w:rFonts w:hint="eastAsia" w:ascii="宋体" w:hAnsi="宋体" w:eastAsia="宋体" w:cs="宋体"/>
                <w:kern w:val="2"/>
                <w:sz w:val="24"/>
                <w:szCs w:val="24"/>
                <w:lang w:val="en-US" w:eastAsia="zh-CN" w:bidi="ar-SA"/>
              </w:rPr>
              <w:t>：</w:t>
            </w:r>
          </w:p>
          <w:p w14:paraId="541EB7E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7.1近三年未在“信用中国”（www.creditchina.gov.cn）和中国政府采购网（www.ccgp.gov.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0FF64B42">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7.2单位负责人为同一人或者存在直接控股、管理关系的不同参选人，不得同时参加本项目的参选；（提供承诺函）</w:t>
            </w:r>
          </w:p>
          <w:p w14:paraId="1E942C12">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7.3具有特种设备安装维修许可乘客电梯、载货电梯B级及以上资质。</w:t>
            </w:r>
            <w:r>
              <w:rPr>
                <w:rFonts w:hint="eastAsia" w:cs="宋体"/>
                <w:color w:val="000000"/>
                <w:kern w:val="0"/>
                <w:sz w:val="24"/>
                <w:szCs w:val="24"/>
                <w:lang w:val="en-US" w:eastAsia="zh-CN" w:bidi="ar"/>
              </w:rPr>
              <w:t>(提供复印件）</w:t>
            </w:r>
          </w:p>
          <w:p w14:paraId="57F1DFD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7.4资阳市质量技术监督局电梯维修保养备案证明文件。</w:t>
            </w:r>
            <w:r>
              <w:rPr>
                <w:rFonts w:hint="eastAsia" w:cs="宋体"/>
                <w:color w:val="000000"/>
                <w:kern w:val="0"/>
                <w:sz w:val="24"/>
                <w:szCs w:val="24"/>
                <w:lang w:val="en-US" w:eastAsia="zh-CN" w:bidi="ar"/>
              </w:rPr>
              <w:t>（提供复印件）</w:t>
            </w:r>
          </w:p>
          <w:p w14:paraId="03B87AB2">
            <w:pPr>
              <w:numPr>
                <w:ilvl w:val="0"/>
                <w:numId w:val="0"/>
              </w:numPr>
              <w:rPr>
                <w:rFonts w:hint="eastAsia"/>
                <w:lang w:val="en-US" w:eastAsia="zh-CN"/>
              </w:rPr>
            </w:pPr>
            <w:r>
              <w:rPr>
                <w:rFonts w:hint="eastAsia" w:ascii="宋体" w:hAnsi="宋体" w:eastAsia="宋体" w:cs="宋体"/>
                <w:color w:val="000000"/>
                <w:kern w:val="0"/>
                <w:sz w:val="24"/>
                <w:szCs w:val="24"/>
                <w:lang w:val="en-US" w:eastAsia="zh-CN" w:bidi="ar"/>
              </w:rPr>
              <w:t>7.5本项目不接受联合体参选；不允许项目转包或分包。（提供承诺函）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p>
        </w:tc>
        <w:tc>
          <w:tcPr>
            <w:tcW w:w="6432" w:type="dxa"/>
            <w:tcBorders>
              <w:left w:val="single" w:color="auto" w:sz="4" w:space="0"/>
              <w:right w:val="single" w:color="auto" w:sz="8" w:space="0"/>
            </w:tcBorders>
            <w:noWrap w:val="0"/>
            <w:vAlign w:val="center"/>
          </w:tcPr>
          <w:p w14:paraId="0B829F7F">
            <w:pPr>
              <w:numPr>
                <w:numId w:val="0"/>
              </w:num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一、服务内容</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467"/>
              <w:gridCol w:w="1577"/>
              <w:gridCol w:w="846"/>
              <w:gridCol w:w="951"/>
              <w:gridCol w:w="846"/>
              <w:gridCol w:w="670"/>
              <w:gridCol w:w="433"/>
            </w:tblGrid>
            <w:tr w14:paraId="6144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000" w:type="pct"/>
                  <w:gridSpan w:val="8"/>
                  <w:tcBorders>
                    <w:top w:val="nil"/>
                    <w:left w:val="nil"/>
                    <w:bottom w:val="nil"/>
                    <w:right w:val="nil"/>
                  </w:tcBorders>
                  <w:shd w:val="clear" w:color="auto" w:fill="auto"/>
                  <w:vAlign w:val="center"/>
                </w:tcPr>
                <w:p w14:paraId="1B3ABD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8"/>
                      <w:szCs w:val="28"/>
                      <w:u w:val="none"/>
                      <w:lang w:val="en-US" w:eastAsia="zh-CN" w:bidi="ar"/>
                    </w:rPr>
                    <w:t>维保服务电梯清单</w:t>
                  </w:r>
                </w:p>
              </w:tc>
            </w:tr>
            <w:tr w14:paraId="6E7B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DE4B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编号</w:t>
                  </w:r>
                </w:p>
              </w:tc>
              <w:tc>
                <w:tcPr>
                  <w:tcW w:w="378" w:type="pct"/>
                  <w:tcBorders>
                    <w:top w:val="single" w:color="000000" w:sz="8" w:space="0"/>
                    <w:left w:val="nil"/>
                    <w:bottom w:val="single" w:color="000000" w:sz="8" w:space="0"/>
                    <w:right w:val="single" w:color="000000" w:sz="8" w:space="0"/>
                  </w:tcBorders>
                  <w:shd w:val="clear" w:color="auto" w:fill="auto"/>
                  <w:vAlign w:val="center"/>
                </w:tcPr>
                <w:p w14:paraId="570BF6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名称</w:t>
                  </w:r>
                </w:p>
              </w:tc>
              <w:tc>
                <w:tcPr>
                  <w:tcW w:w="1268" w:type="pct"/>
                  <w:tcBorders>
                    <w:top w:val="single" w:color="000000" w:sz="8" w:space="0"/>
                    <w:left w:val="nil"/>
                    <w:bottom w:val="single" w:color="000000" w:sz="8" w:space="0"/>
                    <w:right w:val="single" w:color="000000" w:sz="8" w:space="0"/>
                  </w:tcBorders>
                  <w:shd w:val="clear" w:color="auto" w:fill="auto"/>
                  <w:vAlign w:val="center"/>
                </w:tcPr>
                <w:p w14:paraId="5DCCB0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品 牌 型 号</w:t>
                  </w:r>
                </w:p>
              </w:tc>
              <w:tc>
                <w:tcPr>
                  <w:tcW w:w="680" w:type="pct"/>
                  <w:tcBorders>
                    <w:top w:val="single" w:color="000000" w:sz="8" w:space="0"/>
                    <w:left w:val="nil"/>
                    <w:bottom w:val="single" w:color="000000" w:sz="8" w:space="0"/>
                    <w:right w:val="single" w:color="000000" w:sz="8" w:space="0"/>
                  </w:tcBorders>
                  <w:shd w:val="clear" w:color="auto" w:fill="auto"/>
                  <w:vAlign w:val="center"/>
                </w:tcPr>
                <w:p w14:paraId="17F035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color w:val="auto"/>
                      <w:lang w:val="en-US" w:eastAsia="zh-CN" w:bidi="ar"/>
                    </w:rPr>
                    <w:t>额定载重量</w:t>
                  </w:r>
                  <w:r>
                    <w:rPr>
                      <w:rStyle w:val="29"/>
                      <w:color w:val="auto"/>
                      <w:lang w:val="en-US" w:eastAsia="zh-CN" w:bidi="ar"/>
                    </w:rPr>
                    <w:t>（kg）</w:t>
                  </w:r>
                </w:p>
              </w:tc>
              <w:tc>
                <w:tcPr>
                  <w:tcW w:w="764" w:type="pct"/>
                  <w:tcBorders>
                    <w:top w:val="single" w:color="000000" w:sz="8" w:space="0"/>
                    <w:left w:val="nil"/>
                    <w:bottom w:val="single" w:color="000000" w:sz="8" w:space="0"/>
                    <w:right w:val="single" w:color="000000" w:sz="8" w:space="0"/>
                  </w:tcBorders>
                  <w:shd w:val="clear" w:color="auto" w:fill="auto"/>
                  <w:vAlign w:val="center"/>
                </w:tcPr>
                <w:p w14:paraId="3119E7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额定速度（m/s）</w:t>
                  </w:r>
                </w:p>
              </w:tc>
              <w:tc>
                <w:tcPr>
                  <w:tcW w:w="680" w:type="pct"/>
                  <w:tcBorders>
                    <w:top w:val="single" w:color="000000" w:sz="8" w:space="0"/>
                    <w:left w:val="nil"/>
                    <w:bottom w:val="single" w:color="000000" w:sz="8" w:space="0"/>
                    <w:right w:val="single" w:color="000000" w:sz="8" w:space="0"/>
                  </w:tcBorders>
                  <w:shd w:val="clear" w:color="auto" w:fill="auto"/>
                  <w:vAlign w:val="center"/>
                </w:tcPr>
                <w:p w14:paraId="34AC9E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额定功率（KW）</w:t>
                  </w:r>
                </w:p>
              </w:tc>
              <w:tc>
                <w:tcPr>
                  <w:tcW w:w="538" w:type="pct"/>
                  <w:tcBorders>
                    <w:top w:val="single" w:color="000000" w:sz="8" w:space="0"/>
                    <w:left w:val="nil"/>
                    <w:bottom w:val="single" w:color="000000" w:sz="8" w:space="0"/>
                    <w:right w:val="single" w:color="000000" w:sz="8" w:space="0"/>
                  </w:tcBorders>
                  <w:shd w:val="clear" w:color="auto" w:fill="auto"/>
                  <w:vAlign w:val="center"/>
                </w:tcPr>
                <w:p w14:paraId="210B11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层数</w:t>
                  </w:r>
                </w:p>
              </w:tc>
              <w:tc>
                <w:tcPr>
                  <w:tcW w:w="345" w:type="pct"/>
                  <w:tcBorders>
                    <w:top w:val="single" w:color="000000" w:sz="8" w:space="0"/>
                    <w:left w:val="nil"/>
                    <w:bottom w:val="single" w:color="000000" w:sz="8" w:space="0"/>
                    <w:right w:val="single" w:color="000000" w:sz="8" w:space="0"/>
                  </w:tcBorders>
                  <w:shd w:val="clear" w:color="auto" w:fill="auto"/>
                  <w:vAlign w:val="center"/>
                </w:tcPr>
                <w:p w14:paraId="1973BD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r>
            <w:tr w14:paraId="2A80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42" w:type="pct"/>
                  <w:vMerge w:val="restart"/>
                  <w:tcBorders>
                    <w:top w:val="nil"/>
                    <w:left w:val="single" w:color="000000" w:sz="8" w:space="0"/>
                    <w:bottom w:val="single" w:color="000000" w:sz="8" w:space="0"/>
                    <w:right w:val="single" w:color="000000" w:sz="8" w:space="0"/>
                  </w:tcBorders>
                  <w:shd w:val="clear" w:color="auto" w:fill="auto"/>
                  <w:vAlign w:val="center"/>
                </w:tcPr>
                <w:p w14:paraId="64AC868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1号电梯</w:t>
                  </w:r>
                </w:p>
              </w:tc>
              <w:tc>
                <w:tcPr>
                  <w:tcW w:w="378" w:type="pct"/>
                  <w:vMerge w:val="restart"/>
                  <w:tcBorders>
                    <w:top w:val="nil"/>
                    <w:left w:val="nil"/>
                    <w:bottom w:val="single" w:color="000000" w:sz="8" w:space="0"/>
                    <w:right w:val="single" w:color="000000" w:sz="8" w:space="0"/>
                  </w:tcBorders>
                  <w:shd w:val="clear" w:color="auto" w:fill="auto"/>
                  <w:vAlign w:val="center"/>
                </w:tcPr>
                <w:p w14:paraId="4081A2B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乘客电梯</w:t>
                  </w:r>
                </w:p>
              </w:tc>
              <w:tc>
                <w:tcPr>
                  <w:tcW w:w="1268" w:type="pct"/>
                  <w:tcBorders>
                    <w:top w:val="nil"/>
                    <w:left w:val="nil"/>
                    <w:bottom w:val="nil"/>
                    <w:right w:val="single" w:color="000000" w:sz="8" w:space="0"/>
                  </w:tcBorders>
                  <w:shd w:val="clear" w:color="auto" w:fill="auto"/>
                  <w:vAlign w:val="center"/>
                </w:tcPr>
                <w:p w14:paraId="4941E92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三菱</w:t>
                  </w:r>
                </w:p>
              </w:tc>
              <w:tc>
                <w:tcPr>
                  <w:tcW w:w="680" w:type="pct"/>
                  <w:vMerge w:val="restart"/>
                  <w:tcBorders>
                    <w:top w:val="nil"/>
                    <w:left w:val="nil"/>
                    <w:bottom w:val="single" w:color="000000" w:sz="8" w:space="0"/>
                    <w:right w:val="single" w:color="000000" w:sz="8" w:space="0"/>
                  </w:tcBorders>
                  <w:shd w:val="clear" w:color="auto" w:fill="auto"/>
                  <w:vAlign w:val="center"/>
                </w:tcPr>
                <w:p w14:paraId="206BBCA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1050</w:t>
                  </w:r>
                </w:p>
              </w:tc>
              <w:tc>
                <w:tcPr>
                  <w:tcW w:w="764" w:type="pct"/>
                  <w:vMerge w:val="restart"/>
                  <w:tcBorders>
                    <w:top w:val="nil"/>
                    <w:left w:val="nil"/>
                    <w:bottom w:val="single" w:color="000000" w:sz="8" w:space="0"/>
                    <w:right w:val="single" w:color="000000" w:sz="8" w:space="0"/>
                  </w:tcBorders>
                  <w:shd w:val="clear" w:color="auto" w:fill="auto"/>
                  <w:vAlign w:val="center"/>
                </w:tcPr>
                <w:p w14:paraId="1246D92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680" w:type="pct"/>
                  <w:vMerge w:val="restart"/>
                  <w:tcBorders>
                    <w:top w:val="nil"/>
                    <w:left w:val="nil"/>
                    <w:bottom w:val="single" w:color="000000" w:sz="8" w:space="0"/>
                    <w:right w:val="single" w:color="000000" w:sz="8" w:space="0"/>
                  </w:tcBorders>
                  <w:shd w:val="clear" w:color="auto" w:fill="auto"/>
                  <w:vAlign w:val="center"/>
                </w:tcPr>
                <w:p w14:paraId="573AFEB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5.7</w:t>
                  </w:r>
                </w:p>
              </w:tc>
              <w:tc>
                <w:tcPr>
                  <w:tcW w:w="538" w:type="pct"/>
                  <w:vMerge w:val="restart"/>
                  <w:tcBorders>
                    <w:top w:val="nil"/>
                    <w:left w:val="nil"/>
                    <w:bottom w:val="single" w:color="000000" w:sz="8" w:space="0"/>
                    <w:right w:val="single" w:color="000000" w:sz="8" w:space="0"/>
                  </w:tcBorders>
                  <w:shd w:val="clear" w:color="auto" w:fill="auto"/>
                  <w:vAlign w:val="center"/>
                </w:tcPr>
                <w:p w14:paraId="4358844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bidi="ar"/>
                    </w:rPr>
                    <w:t>5/4/4</w:t>
                  </w:r>
                </w:p>
              </w:tc>
              <w:tc>
                <w:tcPr>
                  <w:tcW w:w="345" w:type="pct"/>
                  <w:vMerge w:val="restart"/>
                  <w:tcBorders>
                    <w:top w:val="nil"/>
                    <w:left w:val="nil"/>
                    <w:bottom w:val="single" w:color="000000" w:sz="8" w:space="0"/>
                    <w:right w:val="single" w:color="000000" w:sz="8" w:space="0"/>
                  </w:tcBorders>
                  <w:shd w:val="clear" w:color="auto" w:fill="auto"/>
                  <w:vAlign w:val="center"/>
                </w:tcPr>
                <w:p w14:paraId="443987E9">
                  <w:pPr>
                    <w:keepNext w:val="0"/>
                    <w:keepLines w:val="0"/>
                    <w:widowControl/>
                    <w:suppressLineNumbers w:val="0"/>
                    <w:jc w:val="center"/>
                    <w:textAlignment w:val="center"/>
                    <w:rPr>
                      <w:rFonts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1</w:t>
                  </w:r>
                </w:p>
              </w:tc>
            </w:tr>
            <w:tr w14:paraId="4F7E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42" w:type="pct"/>
                  <w:vMerge w:val="continue"/>
                  <w:tcBorders>
                    <w:top w:val="nil"/>
                    <w:left w:val="single" w:color="000000" w:sz="8" w:space="0"/>
                    <w:bottom w:val="single" w:color="000000" w:sz="8" w:space="0"/>
                    <w:right w:val="single" w:color="000000" w:sz="8" w:space="0"/>
                  </w:tcBorders>
                  <w:shd w:val="clear" w:color="auto" w:fill="auto"/>
                  <w:vAlign w:val="center"/>
                </w:tcPr>
                <w:p w14:paraId="4A5BADEA">
                  <w:pPr>
                    <w:jc w:val="center"/>
                    <w:rPr>
                      <w:rFonts w:hint="eastAsia" w:ascii="宋体" w:hAnsi="宋体" w:eastAsia="宋体" w:cs="宋体"/>
                      <w:b/>
                      <w:bCs/>
                      <w:i w:val="0"/>
                      <w:iCs w:val="0"/>
                      <w:color w:val="auto"/>
                      <w:sz w:val="18"/>
                      <w:szCs w:val="18"/>
                      <w:u w:val="none"/>
                    </w:rPr>
                  </w:pPr>
                </w:p>
              </w:tc>
              <w:tc>
                <w:tcPr>
                  <w:tcW w:w="378" w:type="pct"/>
                  <w:vMerge w:val="continue"/>
                  <w:tcBorders>
                    <w:top w:val="nil"/>
                    <w:left w:val="nil"/>
                    <w:bottom w:val="single" w:color="000000" w:sz="8" w:space="0"/>
                    <w:right w:val="single" w:color="000000" w:sz="8" w:space="0"/>
                  </w:tcBorders>
                  <w:shd w:val="clear" w:color="auto" w:fill="auto"/>
                  <w:vAlign w:val="center"/>
                </w:tcPr>
                <w:p w14:paraId="1E3B6EF2">
                  <w:pPr>
                    <w:jc w:val="center"/>
                    <w:rPr>
                      <w:rFonts w:hint="eastAsia" w:ascii="宋体" w:hAnsi="宋体" w:eastAsia="宋体" w:cs="宋体"/>
                      <w:b/>
                      <w:bCs/>
                      <w:i w:val="0"/>
                      <w:iCs w:val="0"/>
                      <w:color w:val="auto"/>
                      <w:sz w:val="18"/>
                      <w:szCs w:val="18"/>
                      <w:u w:val="none"/>
                    </w:rPr>
                  </w:pPr>
                </w:p>
              </w:tc>
              <w:tc>
                <w:tcPr>
                  <w:tcW w:w="1268" w:type="pct"/>
                  <w:tcBorders>
                    <w:top w:val="nil"/>
                    <w:left w:val="nil"/>
                    <w:bottom w:val="single" w:color="000000" w:sz="8" w:space="0"/>
                    <w:right w:val="single" w:color="000000" w:sz="8" w:space="0"/>
                  </w:tcBorders>
                  <w:shd w:val="clear" w:color="auto" w:fill="auto"/>
                  <w:vAlign w:val="center"/>
                </w:tcPr>
                <w:p w14:paraId="0EAF90F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LEHY-3-S</w:t>
                  </w:r>
                </w:p>
              </w:tc>
              <w:tc>
                <w:tcPr>
                  <w:tcW w:w="680" w:type="pct"/>
                  <w:vMerge w:val="continue"/>
                  <w:tcBorders>
                    <w:top w:val="nil"/>
                    <w:left w:val="nil"/>
                    <w:bottom w:val="single" w:color="000000" w:sz="8" w:space="0"/>
                    <w:right w:val="single" w:color="000000" w:sz="8" w:space="0"/>
                  </w:tcBorders>
                  <w:shd w:val="clear" w:color="auto" w:fill="auto"/>
                  <w:vAlign w:val="center"/>
                </w:tcPr>
                <w:p w14:paraId="01723C66">
                  <w:pPr>
                    <w:jc w:val="center"/>
                    <w:rPr>
                      <w:rFonts w:hint="eastAsia" w:ascii="宋体" w:hAnsi="宋体" w:eastAsia="宋体" w:cs="宋体"/>
                      <w:b/>
                      <w:bCs/>
                      <w:i w:val="0"/>
                      <w:iCs w:val="0"/>
                      <w:color w:val="auto"/>
                      <w:sz w:val="18"/>
                      <w:szCs w:val="18"/>
                      <w:u w:val="none"/>
                    </w:rPr>
                  </w:pPr>
                </w:p>
              </w:tc>
              <w:tc>
                <w:tcPr>
                  <w:tcW w:w="764" w:type="pct"/>
                  <w:vMerge w:val="continue"/>
                  <w:tcBorders>
                    <w:top w:val="nil"/>
                    <w:left w:val="nil"/>
                    <w:bottom w:val="single" w:color="000000" w:sz="8" w:space="0"/>
                    <w:right w:val="single" w:color="000000" w:sz="8" w:space="0"/>
                  </w:tcBorders>
                  <w:shd w:val="clear" w:color="auto" w:fill="auto"/>
                  <w:vAlign w:val="center"/>
                </w:tcPr>
                <w:p w14:paraId="1101E1E3">
                  <w:pPr>
                    <w:jc w:val="center"/>
                    <w:rPr>
                      <w:rFonts w:hint="eastAsia" w:ascii="宋体" w:hAnsi="宋体" w:eastAsia="宋体" w:cs="宋体"/>
                      <w:b/>
                      <w:bCs/>
                      <w:i w:val="0"/>
                      <w:iCs w:val="0"/>
                      <w:color w:val="auto"/>
                      <w:sz w:val="18"/>
                      <w:szCs w:val="18"/>
                      <w:u w:val="none"/>
                    </w:rPr>
                  </w:pPr>
                </w:p>
              </w:tc>
              <w:tc>
                <w:tcPr>
                  <w:tcW w:w="680" w:type="pct"/>
                  <w:vMerge w:val="continue"/>
                  <w:tcBorders>
                    <w:top w:val="nil"/>
                    <w:left w:val="nil"/>
                    <w:bottom w:val="single" w:color="000000" w:sz="8" w:space="0"/>
                    <w:right w:val="single" w:color="000000" w:sz="8" w:space="0"/>
                  </w:tcBorders>
                  <w:shd w:val="clear" w:color="auto" w:fill="auto"/>
                  <w:vAlign w:val="center"/>
                </w:tcPr>
                <w:p w14:paraId="70E439A3">
                  <w:pPr>
                    <w:jc w:val="center"/>
                    <w:rPr>
                      <w:rFonts w:hint="eastAsia" w:ascii="宋体" w:hAnsi="宋体" w:eastAsia="宋体" w:cs="宋体"/>
                      <w:b/>
                      <w:bCs/>
                      <w:i w:val="0"/>
                      <w:iCs w:val="0"/>
                      <w:color w:val="auto"/>
                      <w:sz w:val="18"/>
                      <w:szCs w:val="18"/>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71A5A37D">
                  <w:pPr>
                    <w:jc w:val="center"/>
                    <w:rPr>
                      <w:rFonts w:hint="eastAsia" w:ascii="宋体" w:hAnsi="宋体" w:eastAsia="宋体" w:cs="宋体"/>
                      <w:b/>
                      <w:bCs/>
                      <w:i w:val="0"/>
                      <w:iCs w:val="0"/>
                      <w:color w:val="auto"/>
                      <w:sz w:val="18"/>
                      <w:szCs w:val="18"/>
                      <w:u w:val="none"/>
                    </w:rPr>
                  </w:pPr>
                </w:p>
              </w:tc>
              <w:tc>
                <w:tcPr>
                  <w:tcW w:w="345" w:type="pct"/>
                  <w:vMerge w:val="continue"/>
                  <w:tcBorders>
                    <w:top w:val="nil"/>
                    <w:left w:val="nil"/>
                    <w:bottom w:val="single" w:color="000000" w:sz="8" w:space="0"/>
                    <w:right w:val="single" w:color="000000" w:sz="8" w:space="0"/>
                  </w:tcBorders>
                  <w:shd w:val="clear" w:color="auto" w:fill="auto"/>
                  <w:vAlign w:val="center"/>
                </w:tcPr>
                <w:p w14:paraId="0157564C">
                  <w:pPr>
                    <w:jc w:val="center"/>
                    <w:rPr>
                      <w:rFonts w:hint="eastAsia" w:ascii="仿宋" w:hAnsi="仿宋" w:eastAsia="仿宋" w:cs="仿宋"/>
                      <w:b/>
                      <w:bCs/>
                      <w:i w:val="0"/>
                      <w:iCs w:val="0"/>
                      <w:color w:val="auto"/>
                      <w:sz w:val="18"/>
                      <w:szCs w:val="18"/>
                      <w:u w:val="none"/>
                    </w:rPr>
                  </w:pPr>
                </w:p>
              </w:tc>
            </w:tr>
            <w:tr w14:paraId="3896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42" w:type="pct"/>
                  <w:vMerge w:val="restart"/>
                  <w:tcBorders>
                    <w:top w:val="nil"/>
                    <w:left w:val="single" w:color="000000" w:sz="8" w:space="0"/>
                    <w:bottom w:val="single" w:color="000000" w:sz="8" w:space="0"/>
                    <w:right w:val="single" w:color="000000" w:sz="8" w:space="0"/>
                  </w:tcBorders>
                  <w:shd w:val="clear" w:color="auto" w:fill="auto"/>
                  <w:vAlign w:val="center"/>
                </w:tcPr>
                <w:p w14:paraId="0AF69A7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2号电梯</w:t>
                  </w:r>
                </w:p>
              </w:tc>
              <w:tc>
                <w:tcPr>
                  <w:tcW w:w="378" w:type="pct"/>
                  <w:vMerge w:val="restart"/>
                  <w:tcBorders>
                    <w:top w:val="nil"/>
                    <w:left w:val="nil"/>
                    <w:bottom w:val="single" w:color="000000" w:sz="8" w:space="0"/>
                    <w:right w:val="single" w:color="000000" w:sz="8" w:space="0"/>
                  </w:tcBorders>
                  <w:shd w:val="clear" w:color="auto" w:fill="auto"/>
                  <w:vAlign w:val="center"/>
                </w:tcPr>
                <w:p w14:paraId="0DD7363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医用电梯</w:t>
                  </w:r>
                </w:p>
              </w:tc>
              <w:tc>
                <w:tcPr>
                  <w:tcW w:w="1268" w:type="pct"/>
                  <w:tcBorders>
                    <w:top w:val="nil"/>
                    <w:left w:val="nil"/>
                    <w:bottom w:val="nil"/>
                    <w:right w:val="single" w:color="000000" w:sz="8" w:space="0"/>
                  </w:tcBorders>
                  <w:shd w:val="clear" w:color="auto" w:fill="auto"/>
                  <w:vAlign w:val="center"/>
                </w:tcPr>
                <w:p w14:paraId="6F0F6C8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三菱</w:t>
                  </w:r>
                </w:p>
              </w:tc>
              <w:tc>
                <w:tcPr>
                  <w:tcW w:w="680" w:type="pct"/>
                  <w:vMerge w:val="restart"/>
                  <w:tcBorders>
                    <w:top w:val="nil"/>
                    <w:left w:val="nil"/>
                    <w:bottom w:val="single" w:color="000000" w:sz="8" w:space="0"/>
                    <w:right w:val="single" w:color="000000" w:sz="8" w:space="0"/>
                  </w:tcBorders>
                  <w:shd w:val="clear" w:color="auto" w:fill="auto"/>
                  <w:vAlign w:val="center"/>
                </w:tcPr>
                <w:p w14:paraId="04422B5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1600</w:t>
                  </w:r>
                </w:p>
              </w:tc>
              <w:tc>
                <w:tcPr>
                  <w:tcW w:w="764" w:type="pct"/>
                  <w:vMerge w:val="restart"/>
                  <w:tcBorders>
                    <w:top w:val="nil"/>
                    <w:left w:val="nil"/>
                    <w:bottom w:val="single" w:color="000000" w:sz="8" w:space="0"/>
                    <w:right w:val="single" w:color="000000" w:sz="8" w:space="0"/>
                  </w:tcBorders>
                  <w:shd w:val="clear" w:color="auto" w:fill="auto"/>
                  <w:vAlign w:val="center"/>
                </w:tcPr>
                <w:p w14:paraId="5CA41CE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680" w:type="pct"/>
                  <w:vMerge w:val="restart"/>
                  <w:tcBorders>
                    <w:top w:val="nil"/>
                    <w:left w:val="nil"/>
                    <w:bottom w:val="single" w:color="000000" w:sz="8" w:space="0"/>
                    <w:right w:val="single" w:color="000000" w:sz="8" w:space="0"/>
                  </w:tcBorders>
                  <w:shd w:val="clear" w:color="auto" w:fill="auto"/>
                  <w:vAlign w:val="center"/>
                </w:tcPr>
                <w:p w14:paraId="4649708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6.2</w:t>
                  </w:r>
                </w:p>
              </w:tc>
              <w:tc>
                <w:tcPr>
                  <w:tcW w:w="538" w:type="pct"/>
                  <w:vMerge w:val="restart"/>
                  <w:tcBorders>
                    <w:top w:val="nil"/>
                    <w:left w:val="nil"/>
                    <w:bottom w:val="single" w:color="000000" w:sz="8" w:space="0"/>
                    <w:right w:val="single" w:color="000000" w:sz="8" w:space="0"/>
                  </w:tcBorders>
                  <w:shd w:val="clear" w:color="auto" w:fill="auto"/>
                  <w:vAlign w:val="center"/>
                </w:tcPr>
                <w:p w14:paraId="403AB3A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bidi="ar"/>
                    </w:rPr>
                    <w:t>5/5/5</w:t>
                  </w:r>
                </w:p>
              </w:tc>
              <w:tc>
                <w:tcPr>
                  <w:tcW w:w="345" w:type="pct"/>
                  <w:vMerge w:val="restart"/>
                  <w:tcBorders>
                    <w:top w:val="nil"/>
                    <w:left w:val="nil"/>
                    <w:bottom w:val="single" w:color="000000" w:sz="8" w:space="0"/>
                    <w:right w:val="single" w:color="000000" w:sz="8" w:space="0"/>
                  </w:tcBorders>
                  <w:shd w:val="clear" w:color="auto" w:fill="auto"/>
                  <w:vAlign w:val="center"/>
                </w:tcPr>
                <w:p w14:paraId="2C34F1E4">
                  <w:pPr>
                    <w:keepNext w:val="0"/>
                    <w:keepLines w:val="0"/>
                    <w:widowControl/>
                    <w:suppressLineNumbers w:val="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1</w:t>
                  </w:r>
                </w:p>
              </w:tc>
            </w:tr>
            <w:tr w14:paraId="3AE8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42" w:type="pct"/>
                  <w:vMerge w:val="continue"/>
                  <w:tcBorders>
                    <w:top w:val="nil"/>
                    <w:left w:val="single" w:color="000000" w:sz="8" w:space="0"/>
                    <w:bottom w:val="single" w:color="000000" w:sz="8" w:space="0"/>
                    <w:right w:val="single" w:color="000000" w:sz="8" w:space="0"/>
                  </w:tcBorders>
                  <w:shd w:val="clear" w:color="auto" w:fill="auto"/>
                  <w:vAlign w:val="center"/>
                </w:tcPr>
                <w:p w14:paraId="19D476D0">
                  <w:pPr>
                    <w:jc w:val="center"/>
                    <w:rPr>
                      <w:rFonts w:hint="eastAsia" w:ascii="宋体" w:hAnsi="宋体" w:eastAsia="宋体" w:cs="宋体"/>
                      <w:b/>
                      <w:bCs/>
                      <w:i w:val="0"/>
                      <w:iCs w:val="0"/>
                      <w:color w:val="auto"/>
                      <w:sz w:val="18"/>
                      <w:szCs w:val="18"/>
                      <w:u w:val="none"/>
                    </w:rPr>
                  </w:pPr>
                </w:p>
              </w:tc>
              <w:tc>
                <w:tcPr>
                  <w:tcW w:w="378" w:type="pct"/>
                  <w:vMerge w:val="continue"/>
                  <w:tcBorders>
                    <w:top w:val="nil"/>
                    <w:left w:val="nil"/>
                    <w:bottom w:val="single" w:color="000000" w:sz="8" w:space="0"/>
                    <w:right w:val="single" w:color="000000" w:sz="8" w:space="0"/>
                  </w:tcBorders>
                  <w:shd w:val="clear" w:color="auto" w:fill="auto"/>
                  <w:vAlign w:val="center"/>
                </w:tcPr>
                <w:p w14:paraId="3EA227AC">
                  <w:pPr>
                    <w:jc w:val="center"/>
                    <w:rPr>
                      <w:rFonts w:hint="eastAsia" w:ascii="宋体" w:hAnsi="宋体" w:eastAsia="宋体" w:cs="宋体"/>
                      <w:b/>
                      <w:bCs/>
                      <w:i w:val="0"/>
                      <w:iCs w:val="0"/>
                      <w:color w:val="auto"/>
                      <w:sz w:val="18"/>
                      <w:szCs w:val="18"/>
                      <w:u w:val="none"/>
                    </w:rPr>
                  </w:pPr>
                </w:p>
              </w:tc>
              <w:tc>
                <w:tcPr>
                  <w:tcW w:w="1268" w:type="pct"/>
                  <w:tcBorders>
                    <w:top w:val="nil"/>
                    <w:left w:val="nil"/>
                    <w:bottom w:val="single" w:color="000000" w:sz="8" w:space="0"/>
                    <w:right w:val="single" w:color="000000" w:sz="8" w:space="0"/>
                  </w:tcBorders>
                  <w:shd w:val="clear" w:color="auto" w:fill="auto"/>
                  <w:vAlign w:val="center"/>
                </w:tcPr>
                <w:p w14:paraId="291306B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LEHY-3-B</w:t>
                  </w:r>
                </w:p>
              </w:tc>
              <w:tc>
                <w:tcPr>
                  <w:tcW w:w="680" w:type="pct"/>
                  <w:vMerge w:val="continue"/>
                  <w:tcBorders>
                    <w:top w:val="nil"/>
                    <w:left w:val="nil"/>
                    <w:bottom w:val="single" w:color="000000" w:sz="8" w:space="0"/>
                    <w:right w:val="single" w:color="000000" w:sz="8" w:space="0"/>
                  </w:tcBorders>
                  <w:shd w:val="clear" w:color="auto" w:fill="auto"/>
                  <w:vAlign w:val="center"/>
                </w:tcPr>
                <w:p w14:paraId="4A50B898">
                  <w:pPr>
                    <w:jc w:val="center"/>
                    <w:rPr>
                      <w:rFonts w:hint="eastAsia" w:ascii="宋体" w:hAnsi="宋体" w:eastAsia="宋体" w:cs="宋体"/>
                      <w:b/>
                      <w:bCs/>
                      <w:i w:val="0"/>
                      <w:iCs w:val="0"/>
                      <w:color w:val="auto"/>
                      <w:sz w:val="18"/>
                      <w:szCs w:val="18"/>
                      <w:u w:val="none"/>
                    </w:rPr>
                  </w:pPr>
                </w:p>
              </w:tc>
              <w:tc>
                <w:tcPr>
                  <w:tcW w:w="764" w:type="pct"/>
                  <w:vMerge w:val="continue"/>
                  <w:tcBorders>
                    <w:top w:val="nil"/>
                    <w:left w:val="nil"/>
                    <w:bottom w:val="single" w:color="000000" w:sz="8" w:space="0"/>
                    <w:right w:val="single" w:color="000000" w:sz="8" w:space="0"/>
                  </w:tcBorders>
                  <w:shd w:val="clear" w:color="auto" w:fill="auto"/>
                  <w:vAlign w:val="center"/>
                </w:tcPr>
                <w:p w14:paraId="4B5FC3F5">
                  <w:pPr>
                    <w:jc w:val="center"/>
                    <w:rPr>
                      <w:rFonts w:hint="eastAsia" w:ascii="宋体" w:hAnsi="宋体" w:eastAsia="宋体" w:cs="宋体"/>
                      <w:b/>
                      <w:bCs/>
                      <w:i w:val="0"/>
                      <w:iCs w:val="0"/>
                      <w:color w:val="auto"/>
                      <w:sz w:val="18"/>
                      <w:szCs w:val="18"/>
                      <w:u w:val="none"/>
                    </w:rPr>
                  </w:pPr>
                </w:p>
              </w:tc>
              <w:tc>
                <w:tcPr>
                  <w:tcW w:w="680" w:type="pct"/>
                  <w:vMerge w:val="continue"/>
                  <w:tcBorders>
                    <w:top w:val="nil"/>
                    <w:left w:val="nil"/>
                    <w:bottom w:val="single" w:color="000000" w:sz="8" w:space="0"/>
                    <w:right w:val="single" w:color="000000" w:sz="8" w:space="0"/>
                  </w:tcBorders>
                  <w:shd w:val="clear" w:color="auto" w:fill="auto"/>
                  <w:vAlign w:val="center"/>
                </w:tcPr>
                <w:p w14:paraId="4B424E75">
                  <w:pPr>
                    <w:jc w:val="center"/>
                    <w:rPr>
                      <w:rFonts w:hint="eastAsia" w:ascii="宋体" w:hAnsi="宋体" w:eastAsia="宋体" w:cs="宋体"/>
                      <w:b/>
                      <w:bCs/>
                      <w:i w:val="0"/>
                      <w:iCs w:val="0"/>
                      <w:color w:val="auto"/>
                      <w:sz w:val="18"/>
                      <w:szCs w:val="18"/>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2223B883">
                  <w:pPr>
                    <w:jc w:val="center"/>
                    <w:rPr>
                      <w:rFonts w:hint="eastAsia" w:ascii="宋体" w:hAnsi="宋体" w:eastAsia="宋体" w:cs="宋体"/>
                      <w:b/>
                      <w:bCs/>
                      <w:i w:val="0"/>
                      <w:iCs w:val="0"/>
                      <w:color w:val="auto"/>
                      <w:sz w:val="18"/>
                      <w:szCs w:val="18"/>
                      <w:u w:val="none"/>
                    </w:rPr>
                  </w:pPr>
                </w:p>
              </w:tc>
              <w:tc>
                <w:tcPr>
                  <w:tcW w:w="345" w:type="pct"/>
                  <w:vMerge w:val="continue"/>
                  <w:tcBorders>
                    <w:top w:val="nil"/>
                    <w:left w:val="nil"/>
                    <w:bottom w:val="single" w:color="000000" w:sz="8" w:space="0"/>
                    <w:right w:val="single" w:color="000000" w:sz="8" w:space="0"/>
                  </w:tcBorders>
                  <w:shd w:val="clear" w:color="auto" w:fill="auto"/>
                  <w:vAlign w:val="center"/>
                </w:tcPr>
                <w:p w14:paraId="724F70FB">
                  <w:pPr>
                    <w:jc w:val="center"/>
                    <w:rPr>
                      <w:rFonts w:hint="eastAsia" w:ascii="仿宋" w:hAnsi="仿宋" w:eastAsia="仿宋" w:cs="仿宋"/>
                      <w:b/>
                      <w:bCs/>
                      <w:i w:val="0"/>
                      <w:iCs w:val="0"/>
                      <w:color w:val="auto"/>
                      <w:sz w:val="18"/>
                      <w:szCs w:val="18"/>
                      <w:u w:val="none"/>
                    </w:rPr>
                  </w:pPr>
                </w:p>
              </w:tc>
            </w:tr>
            <w:tr w14:paraId="6D42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42" w:type="pct"/>
                  <w:vMerge w:val="restart"/>
                  <w:tcBorders>
                    <w:top w:val="nil"/>
                    <w:left w:val="single" w:color="000000" w:sz="8" w:space="0"/>
                    <w:bottom w:val="single" w:color="000000" w:sz="8" w:space="0"/>
                    <w:right w:val="single" w:color="000000" w:sz="8" w:space="0"/>
                  </w:tcBorders>
                  <w:shd w:val="clear" w:color="auto" w:fill="auto"/>
                  <w:vAlign w:val="center"/>
                </w:tcPr>
                <w:p w14:paraId="0E3D423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3号电梯</w:t>
                  </w:r>
                </w:p>
              </w:tc>
              <w:tc>
                <w:tcPr>
                  <w:tcW w:w="378" w:type="pct"/>
                  <w:vMerge w:val="restart"/>
                  <w:tcBorders>
                    <w:top w:val="nil"/>
                    <w:left w:val="nil"/>
                    <w:bottom w:val="single" w:color="000000" w:sz="8" w:space="0"/>
                    <w:right w:val="single" w:color="000000" w:sz="8" w:space="0"/>
                  </w:tcBorders>
                  <w:shd w:val="clear" w:color="auto" w:fill="auto"/>
                  <w:vAlign w:val="center"/>
                </w:tcPr>
                <w:p w14:paraId="481921B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医用电梯</w:t>
                  </w:r>
                </w:p>
              </w:tc>
              <w:tc>
                <w:tcPr>
                  <w:tcW w:w="1268" w:type="pct"/>
                  <w:tcBorders>
                    <w:top w:val="nil"/>
                    <w:left w:val="nil"/>
                    <w:bottom w:val="nil"/>
                    <w:right w:val="single" w:color="000000" w:sz="8" w:space="0"/>
                  </w:tcBorders>
                  <w:shd w:val="clear" w:color="auto" w:fill="auto"/>
                  <w:vAlign w:val="center"/>
                </w:tcPr>
                <w:p w14:paraId="3D58EE8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三菱</w:t>
                  </w:r>
                </w:p>
              </w:tc>
              <w:tc>
                <w:tcPr>
                  <w:tcW w:w="680" w:type="pct"/>
                  <w:vMerge w:val="restart"/>
                  <w:tcBorders>
                    <w:top w:val="nil"/>
                    <w:left w:val="nil"/>
                    <w:bottom w:val="single" w:color="000000" w:sz="8" w:space="0"/>
                    <w:right w:val="single" w:color="000000" w:sz="8" w:space="0"/>
                  </w:tcBorders>
                  <w:shd w:val="clear" w:color="auto" w:fill="auto"/>
                  <w:vAlign w:val="center"/>
                </w:tcPr>
                <w:p w14:paraId="601A2C1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1600</w:t>
                  </w:r>
                </w:p>
              </w:tc>
              <w:tc>
                <w:tcPr>
                  <w:tcW w:w="764" w:type="pct"/>
                  <w:vMerge w:val="restart"/>
                  <w:tcBorders>
                    <w:top w:val="nil"/>
                    <w:left w:val="nil"/>
                    <w:bottom w:val="single" w:color="000000" w:sz="8" w:space="0"/>
                    <w:right w:val="single" w:color="000000" w:sz="8" w:space="0"/>
                  </w:tcBorders>
                  <w:shd w:val="clear" w:color="auto" w:fill="auto"/>
                  <w:vAlign w:val="center"/>
                </w:tcPr>
                <w:p w14:paraId="18F7CC3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680" w:type="pct"/>
                  <w:vMerge w:val="restart"/>
                  <w:tcBorders>
                    <w:top w:val="nil"/>
                    <w:left w:val="nil"/>
                    <w:bottom w:val="single" w:color="000000" w:sz="8" w:space="0"/>
                    <w:right w:val="single" w:color="000000" w:sz="8" w:space="0"/>
                  </w:tcBorders>
                  <w:shd w:val="clear" w:color="auto" w:fill="auto"/>
                  <w:vAlign w:val="center"/>
                </w:tcPr>
                <w:p w14:paraId="0B45F7E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6.2</w:t>
                  </w:r>
                </w:p>
              </w:tc>
              <w:tc>
                <w:tcPr>
                  <w:tcW w:w="538" w:type="pct"/>
                  <w:vMerge w:val="restart"/>
                  <w:tcBorders>
                    <w:top w:val="nil"/>
                    <w:left w:val="nil"/>
                    <w:bottom w:val="single" w:color="000000" w:sz="8" w:space="0"/>
                    <w:right w:val="single" w:color="000000" w:sz="8" w:space="0"/>
                  </w:tcBorders>
                  <w:shd w:val="clear" w:color="auto" w:fill="auto"/>
                  <w:vAlign w:val="center"/>
                </w:tcPr>
                <w:p w14:paraId="6211D09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bidi="ar"/>
                    </w:rPr>
                    <w:t>5/5/5</w:t>
                  </w:r>
                </w:p>
              </w:tc>
              <w:tc>
                <w:tcPr>
                  <w:tcW w:w="345" w:type="pct"/>
                  <w:vMerge w:val="restart"/>
                  <w:tcBorders>
                    <w:top w:val="nil"/>
                    <w:left w:val="nil"/>
                    <w:bottom w:val="single" w:color="000000" w:sz="8" w:space="0"/>
                    <w:right w:val="single" w:color="000000" w:sz="8" w:space="0"/>
                  </w:tcBorders>
                  <w:shd w:val="clear" w:color="auto" w:fill="auto"/>
                  <w:vAlign w:val="center"/>
                </w:tcPr>
                <w:p w14:paraId="63E3AA37">
                  <w:pPr>
                    <w:keepNext w:val="0"/>
                    <w:keepLines w:val="0"/>
                    <w:widowControl/>
                    <w:suppressLineNumbers w:val="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1</w:t>
                  </w:r>
                </w:p>
              </w:tc>
            </w:tr>
            <w:tr w14:paraId="21D5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42" w:type="pct"/>
                  <w:vMerge w:val="continue"/>
                  <w:tcBorders>
                    <w:top w:val="nil"/>
                    <w:left w:val="single" w:color="000000" w:sz="8" w:space="0"/>
                    <w:bottom w:val="single" w:color="000000" w:sz="8" w:space="0"/>
                    <w:right w:val="single" w:color="000000" w:sz="8" w:space="0"/>
                  </w:tcBorders>
                  <w:shd w:val="clear" w:color="auto" w:fill="auto"/>
                  <w:vAlign w:val="center"/>
                </w:tcPr>
                <w:p w14:paraId="4BABAC2F">
                  <w:pPr>
                    <w:jc w:val="center"/>
                    <w:rPr>
                      <w:rFonts w:hint="eastAsia" w:ascii="宋体" w:hAnsi="宋体" w:eastAsia="宋体" w:cs="宋体"/>
                      <w:b/>
                      <w:bCs/>
                      <w:i w:val="0"/>
                      <w:iCs w:val="0"/>
                      <w:color w:val="auto"/>
                      <w:sz w:val="18"/>
                      <w:szCs w:val="18"/>
                      <w:u w:val="none"/>
                    </w:rPr>
                  </w:pPr>
                </w:p>
              </w:tc>
              <w:tc>
                <w:tcPr>
                  <w:tcW w:w="378" w:type="pct"/>
                  <w:vMerge w:val="continue"/>
                  <w:tcBorders>
                    <w:top w:val="nil"/>
                    <w:left w:val="nil"/>
                    <w:bottom w:val="single" w:color="000000" w:sz="8" w:space="0"/>
                    <w:right w:val="single" w:color="000000" w:sz="8" w:space="0"/>
                  </w:tcBorders>
                  <w:shd w:val="clear" w:color="auto" w:fill="auto"/>
                  <w:vAlign w:val="center"/>
                </w:tcPr>
                <w:p w14:paraId="583FF369">
                  <w:pPr>
                    <w:jc w:val="center"/>
                    <w:rPr>
                      <w:rFonts w:hint="eastAsia" w:ascii="宋体" w:hAnsi="宋体" w:eastAsia="宋体" w:cs="宋体"/>
                      <w:b/>
                      <w:bCs/>
                      <w:i w:val="0"/>
                      <w:iCs w:val="0"/>
                      <w:color w:val="auto"/>
                      <w:sz w:val="18"/>
                      <w:szCs w:val="18"/>
                      <w:u w:val="none"/>
                    </w:rPr>
                  </w:pPr>
                </w:p>
              </w:tc>
              <w:tc>
                <w:tcPr>
                  <w:tcW w:w="1268" w:type="pct"/>
                  <w:tcBorders>
                    <w:top w:val="nil"/>
                    <w:left w:val="nil"/>
                    <w:bottom w:val="single" w:color="000000" w:sz="8" w:space="0"/>
                    <w:right w:val="single" w:color="000000" w:sz="8" w:space="0"/>
                  </w:tcBorders>
                  <w:shd w:val="clear" w:color="auto" w:fill="auto"/>
                  <w:vAlign w:val="center"/>
                </w:tcPr>
                <w:p w14:paraId="5381EA6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LEHY-3-B</w:t>
                  </w:r>
                </w:p>
              </w:tc>
              <w:tc>
                <w:tcPr>
                  <w:tcW w:w="680" w:type="pct"/>
                  <w:vMerge w:val="continue"/>
                  <w:tcBorders>
                    <w:top w:val="nil"/>
                    <w:left w:val="nil"/>
                    <w:bottom w:val="single" w:color="000000" w:sz="8" w:space="0"/>
                    <w:right w:val="single" w:color="000000" w:sz="8" w:space="0"/>
                  </w:tcBorders>
                  <w:shd w:val="clear" w:color="auto" w:fill="auto"/>
                  <w:vAlign w:val="center"/>
                </w:tcPr>
                <w:p w14:paraId="791077B5">
                  <w:pPr>
                    <w:jc w:val="center"/>
                    <w:rPr>
                      <w:rFonts w:hint="eastAsia" w:ascii="宋体" w:hAnsi="宋体" w:eastAsia="宋体" w:cs="宋体"/>
                      <w:b/>
                      <w:bCs/>
                      <w:i w:val="0"/>
                      <w:iCs w:val="0"/>
                      <w:color w:val="auto"/>
                      <w:sz w:val="18"/>
                      <w:szCs w:val="18"/>
                      <w:u w:val="none"/>
                    </w:rPr>
                  </w:pPr>
                </w:p>
              </w:tc>
              <w:tc>
                <w:tcPr>
                  <w:tcW w:w="764" w:type="pct"/>
                  <w:vMerge w:val="continue"/>
                  <w:tcBorders>
                    <w:top w:val="nil"/>
                    <w:left w:val="nil"/>
                    <w:bottom w:val="single" w:color="000000" w:sz="8" w:space="0"/>
                    <w:right w:val="single" w:color="000000" w:sz="8" w:space="0"/>
                  </w:tcBorders>
                  <w:shd w:val="clear" w:color="auto" w:fill="auto"/>
                  <w:vAlign w:val="center"/>
                </w:tcPr>
                <w:p w14:paraId="72657E26">
                  <w:pPr>
                    <w:jc w:val="center"/>
                    <w:rPr>
                      <w:rFonts w:hint="eastAsia" w:ascii="宋体" w:hAnsi="宋体" w:eastAsia="宋体" w:cs="宋体"/>
                      <w:b/>
                      <w:bCs/>
                      <w:i w:val="0"/>
                      <w:iCs w:val="0"/>
                      <w:color w:val="auto"/>
                      <w:sz w:val="18"/>
                      <w:szCs w:val="18"/>
                      <w:u w:val="none"/>
                    </w:rPr>
                  </w:pPr>
                </w:p>
              </w:tc>
              <w:tc>
                <w:tcPr>
                  <w:tcW w:w="680" w:type="pct"/>
                  <w:vMerge w:val="continue"/>
                  <w:tcBorders>
                    <w:top w:val="nil"/>
                    <w:left w:val="nil"/>
                    <w:bottom w:val="single" w:color="000000" w:sz="8" w:space="0"/>
                    <w:right w:val="single" w:color="000000" w:sz="8" w:space="0"/>
                  </w:tcBorders>
                  <w:shd w:val="clear" w:color="auto" w:fill="auto"/>
                  <w:vAlign w:val="center"/>
                </w:tcPr>
                <w:p w14:paraId="0E86A496">
                  <w:pPr>
                    <w:jc w:val="center"/>
                    <w:rPr>
                      <w:rFonts w:hint="eastAsia" w:ascii="宋体" w:hAnsi="宋体" w:eastAsia="宋体" w:cs="宋体"/>
                      <w:b/>
                      <w:bCs/>
                      <w:i w:val="0"/>
                      <w:iCs w:val="0"/>
                      <w:color w:val="auto"/>
                      <w:sz w:val="18"/>
                      <w:szCs w:val="18"/>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4A19E53A">
                  <w:pPr>
                    <w:jc w:val="center"/>
                    <w:rPr>
                      <w:rFonts w:hint="eastAsia" w:ascii="宋体" w:hAnsi="宋体" w:eastAsia="宋体" w:cs="宋体"/>
                      <w:b/>
                      <w:bCs/>
                      <w:i w:val="0"/>
                      <w:iCs w:val="0"/>
                      <w:color w:val="auto"/>
                      <w:sz w:val="18"/>
                      <w:szCs w:val="18"/>
                      <w:u w:val="none"/>
                    </w:rPr>
                  </w:pPr>
                </w:p>
              </w:tc>
              <w:tc>
                <w:tcPr>
                  <w:tcW w:w="345" w:type="pct"/>
                  <w:vMerge w:val="continue"/>
                  <w:tcBorders>
                    <w:top w:val="nil"/>
                    <w:left w:val="nil"/>
                    <w:bottom w:val="single" w:color="000000" w:sz="8" w:space="0"/>
                    <w:right w:val="single" w:color="000000" w:sz="8" w:space="0"/>
                  </w:tcBorders>
                  <w:shd w:val="clear" w:color="auto" w:fill="auto"/>
                  <w:vAlign w:val="center"/>
                </w:tcPr>
                <w:p w14:paraId="070A9D7C">
                  <w:pPr>
                    <w:jc w:val="center"/>
                    <w:rPr>
                      <w:rFonts w:hint="eastAsia" w:ascii="仿宋" w:hAnsi="仿宋" w:eastAsia="仿宋" w:cs="仿宋"/>
                      <w:b/>
                      <w:bCs/>
                      <w:i w:val="0"/>
                      <w:iCs w:val="0"/>
                      <w:color w:val="auto"/>
                      <w:sz w:val="18"/>
                      <w:szCs w:val="18"/>
                      <w:u w:val="none"/>
                    </w:rPr>
                  </w:pPr>
                </w:p>
              </w:tc>
            </w:tr>
            <w:tr w14:paraId="5980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42" w:type="pct"/>
                  <w:vMerge w:val="restart"/>
                  <w:tcBorders>
                    <w:top w:val="nil"/>
                    <w:left w:val="single" w:color="000000" w:sz="8" w:space="0"/>
                    <w:bottom w:val="single" w:color="000000" w:sz="8" w:space="0"/>
                    <w:right w:val="single" w:color="000000" w:sz="8" w:space="0"/>
                  </w:tcBorders>
                  <w:shd w:val="clear" w:color="auto" w:fill="auto"/>
                  <w:vAlign w:val="center"/>
                </w:tcPr>
                <w:p w14:paraId="2EA2AC2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4号电梯</w:t>
                  </w:r>
                </w:p>
              </w:tc>
              <w:tc>
                <w:tcPr>
                  <w:tcW w:w="378" w:type="pct"/>
                  <w:vMerge w:val="restart"/>
                  <w:tcBorders>
                    <w:top w:val="nil"/>
                    <w:left w:val="nil"/>
                    <w:bottom w:val="single" w:color="000000" w:sz="8" w:space="0"/>
                    <w:right w:val="single" w:color="000000" w:sz="8" w:space="0"/>
                  </w:tcBorders>
                  <w:shd w:val="clear" w:color="auto" w:fill="auto"/>
                  <w:vAlign w:val="center"/>
                </w:tcPr>
                <w:p w14:paraId="5AA2074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乘客电梯</w:t>
                  </w:r>
                </w:p>
              </w:tc>
              <w:tc>
                <w:tcPr>
                  <w:tcW w:w="1268" w:type="pct"/>
                  <w:tcBorders>
                    <w:top w:val="nil"/>
                    <w:left w:val="nil"/>
                    <w:bottom w:val="nil"/>
                    <w:right w:val="single" w:color="000000" w:sz="8" w:space="0"/>
                  </w:tcBorders>
                  <w:shd w:val="clear" w:color="auto" w:fill="auto"/>
                  <w:vAlign w:val="center"/>
                </w:tcPr>
                <w:p w14:paraId="03FB0F7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三菱</w:t>
                  </w:r>
                </w:p>
              </w:tc>
              <w:tc>
                <w:tcPr>
                  <w:tcW w:w="680" w:type="pct"/>
                  <w:vMerge w:val="restart"/>
                  <w:tcBorders>
                    <w:top w:val="nil"/>
                    <w:left w:val="nil"/>
                    <w:bottom w:val="single" w:color="000000" w:sz="8" w:space="0"/>
                    <w:right w:val="single" w:color="000000" w:sz="8" w:space="0"/>
                  </w:tcBorders>
                  <w:shd w:val="clear" w:color="auto" w:fill="auto"/>
                  <w:vAlign w:val="center"/>
                </w:tcPr>
                <w:p w14:paraId="3DE981A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1050</w:t>
                  </w:r>
                </w:p>
              </w:tc>
              <w:tc>
                <w:tcPr>
                  <w:tcW w:w="764" w:type="pct"/>
                  <w:vMerge w:val="restart"/>
                  <w:tcBorders>
                    <w:top w:val="nil"/>
                    <w:left w:val="nil"/>
                    <w:bottom w:val="single" w:color="000000" w:sz="8" w:space="0"/>
                    <w:right w:val="single" w:color="000000" w:sz="8" w:space="0"/>
                  </w:tcBorders>
                  <w:shd w:val="clear" w:color="auto" w:fill="auto"/>
                  <w:vAlign w:val="center"/>
                </w:tcPr>
                <w:p w14:paraId="79D77DA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680" w:type="pct"/>
                  <w:vMerge w:val="restart"/>
                  <w:tcBorders>
                    <w:top w:val="nil"/>
                    <w:left w:val="nil"/>
                    <w:bottom w:val="single" w:color="000000" w:sz="8" w:space="0"/>
                    <w:right w:val="single" w:color="000000" w:sz="8" w:space="0"/>
                  </w:tcBorders>
                  <w:shd w:val="clear" w:color="auto" w:fill="auto"/>
                  <w:vAlign w:val="center"/>
                </w:tcPr>
                <w:p w14:paraId="283CE01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5.7</w:t>
                  </w:r>
                </w:p>
              </w:tc>
              <w:tc>
                <w:tcPr>
                  <w:tcW w:w="538" w:type="pct"/>
                  <w:vMerge w:val="restart"/>
                  <w:tcBorders>
                    <w:top w:val="nil"/>
                    <w:left w:val="nil"/>
                    <w:bottom w:val="single" w:color="000000" w:sz="8" w:space="0"/>
                    <w:right w:val="single" w:color="000000" w:sz="8" w:space="0"/>
                  </w:tcBorders>
                  <w:shd w:val="clear" w:color="auto" w:fill="auto"/>
                  <w:vAlign w:val="center"/>
                </w:tcPr>
                <w:p w14:paraId="3AA7C59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bidi="ar"/>
                    </w:rPr>
                    <w:t>7/7/7</w:t>
                  </w:r>
                </w:p>
              </w:tc>
              <w:tc>
                <w:tcPr>
                  <w:tcW w:w="345" w:type="pct"/>
                  <w:vMerge w:val="restart"/>
                  <w:tcBorders>
                    <w:top w:val="nil"/>
                    <w:left w:val="nil"/>
                    <w:bottom w:val="single" w:color="000000" w:sz="8" w:space="0"/>
                    <w:right w:val="single" w:color="000000" w:sz="8" w:space="0"/>
                  </w:tcBorders>
                  <w:shd w:val="clear" w:color="auto" w:fill="auto"/>
                  <w:vAlign w:val="center"/>
                </w:tcPr>
                <w:p w14:paraId="1548A2A1">
                  <w:pPr>
                    <w:keepNext w:val="0"/>
                    <w:keepLines w:val="0"/>
                    <w:widowControl/>
                    <w:suppressLineNumbers w:val="0"/>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1</w:t>
                  </w:r>
                </w:p>
              </w:tc>
            </w:tr>
            <w:tr w14:paraId="1613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42" w:type="pct"/>
                  <w:vMerge w:val="continue"/>
                  <w:tcBorders>
                    <w:top w:val="nil"/>
                    <w:left w:val="single" w:color="000000" w:sz="8" w:space="0"/>
                    <w:bottom w:val="single" w:color="000000" w:sz="8" w:space="0"/>
                    <w:right w:val="single" w:color="000000" w:sz="8" w:space="0"/>
                  </w:tcBorders>
                  <w:shd w:val="clear" w:color="auto" w:fill="auto"/>
                  <w:vAlign w:val="center"/>
                </w:tcPr>
                <w:p w14:paraId="2DE623E4">
                  <w:pPr>
                    <w:jc w:val="center"/>
                    <w:rPr>
                      <w:rFonts w:hint="eastAsia" w:ascii="宋体" w:hAnsi="宋体" w:eastAsia="宋体" w:cs="宋体"/>
                      <w:b/>
                      <w:bCs/>
                      <w:i w:val="0"/>
                      <w:iCs w:val="0"/>
                      <w:color w:val="auto"/>
                      <w:sz w:val="18"/>
                      <w:szCs w:val="18"/>
                      <w:u w:val="none"/>
                    </w:rPr>
                  </w:pPr>
                </w:p>
              </w:tc>
              <w:tc>
                <w:tcPr>
                  <w:tcW w:w="378" w:type="pct"/>
                  <w:vMerge w:val="continue"/>
                  <w:tcBorders>
                    <w:top w:val="nil"/>
                    <w:left w:val="nil"/>
                    <w:bottom w:val="single" w:color="000000" w:sz="8" w:space="0"/>
                    <w:right w:val="single" w:color="000000" w:sz="8" w:space="0"/>
                  </w:tcBorders>
                  <w:shd w:val="clear" w:color="auto" w:fill="auto"/>
                  <w:vAlign w:val="center"/>
                </w:tcPr>
                <w:p w14:paraId="3C36C072">
                  <w:pPr>
                    <w:jc w:val="center"/>
                    <w:rPr>
                      <w:rFonts w:hint="eastAsia" w:ascii="宋体" w:hAnsi="宋体" w:eastAsia="宋体" w:cs="宋体"/>
                      <w:b/>
                      <w:bCs/>
                      <w:i w:val="0"/>
                      <w:iCs w:val="0"/>
                      <w:color w:val="auto"/>
                      <w:sz w:val="18"/>
                      <w:szCs w:val="18"/>
                      <w:u w:val="none"/>
                    </w:rPr>
                  </w:pPr>
                </w:p>
              </w:tc>
              <w:tc>
                <w:tcPr>
                  <w:tcW w:w="1268" w:type="pct"/>
                  <w:tcBorders>
                    <w:top w:val="nil"/>
                    <w:left w:val="nil"/>
                    <w:bottom w:val="single" w:color="000000" w:sz="8" w:space="0"/>
                    <w:right w:val="single" w:color="000000" w:sz="8" w:space="0"/>
                  </w:tcBorders>
                  <w:shd w:val="clear" w:color="auto" w:fill="auto"/>
                  <w:vAlign w:val="center"/>
                </w:tcPr>
                <w:p w14:paraId="57CB0A9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LEHY-3-S</w:t>
                  </w:r>
                </w:p>
              </w:tc>
              <w:tc>
                <w:tcPr>
                  <w:tcW w:w="680" w:type="pct"/>
                  <w:vMerge w:val="continue"/>
                  <w:tcBorders>
                    <w:top w:val="nil"/>
                    <w:left w:val="nil"/>
                    <w:bottom w:val="single" w:color="000000" w:sz="8" w:space="0"/>
                    <w:right w:val="single" w:color="000000" w:sz="8" w:space="0"/>
                  </w:tcBorders>
                  <w:shd w:val="clear" w:color="auto" w:fill="auto"/>
                  <w:vAlign w:val="center"/>
                </w:tcPr>
                <w:p w14:paraId="64AFD427">
                  <w:pPr>
                    <w:jc w:val="center"/>
                    <w:rPr>
                      <w:rFonts w:hint="eastAsia" w:ascii="宋体" w:hAnsi="宋体" w:eastAsia="宋体" w:cs="宋体"/>
                      <w:b/>
                      <w:bCs/>
                      <w:i w:val="0"/>
                      <w:iCs w:val="0"/>
                      <w:color w:val="auto"/>
                      <w:sz w:val="18"/>
                      <w:szCs w:val="18"/>
                      <w:u w:val="none"/>
                    </w:rPr>
                  </w:pPr>
                </w:p>
              </w:tc>
              <w:tc>
                <w:tcPr>
                  <w:tcW w:w="764" w:type="pct"/>
                  <w:vMerge w:val="continue"/>
                  <w:tcBorders>
                    <w:top w:val="nil"/>
                    <w:left w:val="nil"/>
                    <w:bottom w:val="single" w:color="000000" w:sz="8" w:space="0"/>
                    <w:right w:val="single" w:color="000000" w:sz="8" w:space="0"/>
                  </w:tcBorders>
                  <w:shd w:val="clear" w:color="auto" w:fill="auto"/>
                  <w:vAlign w:val="center"/>
                </w:tcPr>
                <w:p w14:paraId="4A8C678F">
                  <w:pPr>
                    <w:jc w:val="center"/>
                    <w:rPr>
                      <w:rFonts w:hint="eastAsia" w:ascii="宋体" w:hAnsi="宋体" w:eastAsia="宋体" w:cs="宋体"/>
                      <w:b/>
                      <w:bCs/>
                      <w:i w:val="0"/>
                      <w:iCs w:val="0"/>
                      <w:color w:val="auto"/>
                      <w:sz w:val="18"/>
                      <w:szCs w:val="18"/>
                      <w:u w:val="none"/>
                    </w:rPr>
                  </w:pPr>
                </w:p>
              </w:tc>
              <w:tc>
                <w:tcPr>
                  <w:tcW w:w="680" w:type="pct"/>
                  <w:vMerge w:val="continue"/>
                  <w:tcBorders>
                    <w:top w:val="nil"/>
                    <w:left w:val="nil"/>
                    <w:bottom w:val="single" w:color="000000" w:sz="8" w:space="0"/>
                    <w:right w:val="single" w:color="000000" w:sz="8" w:space="0"/>
                  </w:tcBorders>
                  <w:shd w:val="clear" w:color="auto" w:fill="auto"/>
                  <w:vAlign w:val="center"/>
                </w:tcPr>
                <w:p w14:paraId="3DA58522">
                  <w:pPr>
                    <w:jc w:val="center"/>
                    <w:rPr>
                      <w:rFonts w:hint="eastAsia" w:ascii="宋体" w:hAnsi="宋体" w:eastAsia="宋体" w:cs="宋体"/>
                      <w:b/>
                      <w:bCs/>
                      <w:i w:val="0"/>
                      <w:iCs w:val="0"/>
                      <w:color w:val="auto"/>
                      <w:sz w:val="18"/>
                      <w:szCs w:val="18"/>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5A555F39">
                  <w:pPr>
                    <w:jc w:val="center"/>
                    <w:rPr>
                      <w:rFonts w:hint="eastAsia" w:ascii="宋体" w:hAnsi="宋体" w:eastAsia="宋体" w:cs="宋体"/>
                      <w:b/>
                      <w:bCs/>
                      <w:i w:val="0"/>
                      <w:iCs w:val="0"/>
                      <w:color w:val="auto"/>
                      <w:sz w:val="18"/>
                      <w:szCs w:val="18"/>
                      <w:u w:val="none"/>
                    </w:rPr>
                  </w:pPr>
                </w:p>
              </w:tc>
              <w:tc>
                <w:tcPr>
                  <w:tcW w:w="345" w:type="pct"/>
                  <w:vMerge w:val="continue"/>
                  <w:tcBorders>
                    <w:top w:val="nil"/>
                    <w:left w:val="nil"/>
                    <w:bottom w:val="single" w:color="000000" w:sz="8" w:space="0"/>
                    <w:right w:val="single" w:color="000000" w:sz="8" w:space="0"/>
                  </w:tcBorders>
                  <w:shd w:val="clear" w:color="auto" w:fill="auto"/>
                  <w:vAlign w:val="center"/>
                </w:tcPr>
                <w:p w14:paraId="2AF17579">
                  <w:pPr>
                    <w:jc w:val="center"/>
                    <w:rPr>
                      <w:rFonts w:hint="eastAsia" w:ascii="仿宋" w:hAnsi="仿宋" w:eastAsia="仿宋" w:cs="仿宋"/>
                      <w:b/>
                      <w:bCs/>
                      <w:i w:val="0"/>
                      <w:iCs w:val="0"/>
                      <w:color w:val="auto"/>
                      <w:sz w:val="18"/>
                      <w:szCs w:val="18"/>
                      <w:u w:val="none"/>
                    </w:rPr>
                  </w:pPr>
                </w:p>
              </w:tc>
            </w:tr>
            <w:tr w14:paraId="577E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42" w:type="pct"/>
                  <w:vMerge w:val="restart"/>
                  <w:tcBorders>
                    <w:top w:val="nil"/>
                    <w:left w:val="single" w:color="000000" w:sz="8" w:space="0"/>
                    <w:bottom w:val="single" w:color="000000" w:sz="8" w:space="0"/>
                    <w:right w:val="single" w:color="000000" w:sz="8" w:space="0"/>
                  </w:tcBorders>
                  <w:shd w:val="clear" w:color="auto" w:fill="auto"/>
                  <w:vAlign w:val="center"/>
                </w:tcPr>
                <w:p w14:paraId="3288DB6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5号电梯</w:t>
                  </w:r>
                </w:p>
              </w:tc>
              <w:tc>
                <w:tcPr>
                  <w:tcW w:w="378" w:type="pct"/>
                  <w:vMerge w:val="restart"/>
                  <w:tcBorders>
                    <w:top w:val="nil"/>
                    <w:left w:val="nil"/>
                    <w:bottom w:val="single" w:color="000000" w:sz="8" w:space="0"/>
                    <w:right w:val="single" w:color="000000" w:sz="8" w:space="0"/>
                  </w:tcBorders>
                  <w:shd w:val="clear" w:color="auto" w:fill="auto"/>
                  <w:vAlign w:val="center"/>
                </w:tcPr>
                <w:p w14:paraId="03ED7EA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医用电梯</w:t>
                  </w:r>
                </w:p>
              </w:tc>
              <w:tc>
                <w:tcPr>
                  <w:tcW w:w="1268" w:type="pct"/>
                  <w:tcBorders>
                    <w:top w:val="nil"/>
                    <w:left w:val="nil"/>
                    <w:bottom w:val="nil"/>
                    <w:right w:val="single" w:color="000000" w:sz="8" w:space="0"/>
                  </w:tcBorders>
                  <w:shd w:val="clear" w:color="auto" w:fill="auto"/>
                  <w:vAlign w:val="center"/>
                </w:tcPr>
                <w:p w14:paraId="0B3B93E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三菱</w:t>
                  </w:r>
                </w:p>
              </w:tc>
              <w:tc>
                <w:tcPr>
                  <w:tcW w:w="680" w:type="pct"/>
                  <w:vMerge w:val="restart"/>
                  <w:tcBorders>
                    <w:top w:val="nil"/>
                    <w:left w:val="nil"/>
                    <w:bottom w:val="single" w:color="000000" w:sz="8" w:space="0"/>
                    <w:right w:val="single" w:color="000000" w:sz="8" w:space="0"/>
                  </w:tcBorders>
                  <w:shd w:val="clear" w:color="auto" w:fill="auto"/>
                  <w:vAlign w:val="center"/>
                </w:tcPr>
                <w:p w14:paraId="4A91162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1600</w:t>
                  </w:r>
                </w:p>
              </w:tc>
              <w:tc>
                <w:tcPr>
                  <w:tcW w:w="764" w:type="pct"/>
                  <w:vMerge w:val="restart"/>
                  <w:tcBorders>
                    <w:top w:val="nil"/>
                    <w:left w:val="nil"/>
                    <w:bottom w:val="single" w:color="000000" w:sz="8" w:space="0"/>
                    <w:right w:val="single" w:color="000000" w:sz="8" w:space="0"/>
                  </w:tcBorders>
                  <w:shd w:val="clear" w:color="auto" w:fill="auto"/>
                  <w:vAlign w:val="center"/>
                </w:tcPr>
                <w:p w14:paraId="77AD09C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680" w:type="pct"/>
                  <w:vMerge w:val="restart"/>
                  <w:tcBorders>
                    <w:top w:val="nil"/>
                    <w:left w:val="nil"/>
                    <w:bottom w:val="single" w:color="000000" w:sz="8" w:space="0"/>
                    <w:right w:val="single" w:color="000000" w:sz="8" w:space="0"/>
                  </w:tcBorders>
                  <w:shd w:val="clear" w:color="auto" w:fill="auto"/>
                  <w:vAlign w:val="center"/>
                </w:tcPr>
                <w:p w14:paraId="48C4285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6.2</w:t>
                  </w:r>
                </w:p>
              </w:tc>
              <w:tc>
                <w:tcPr>
                  <w:tcW w:w="538" w:type="pct"/>
                  <w:vMerge w:val="restart"/>
                  <w:tcBorders>
                    <w:top w:val="nil"/>
                    <w:left w:val="nil"/>
                    <w:bottom w:val="single" w:color="000000" w:sz="8" w:space="0"/>
                    <w:right w:val="single" w:color="000000" w:sz="8" w:space="0"/>
                  </w:tcBorders>
                  <w:shd w:val="clear" w:color="auto" w:fill="auto"/>
                  <w:vAlign w:val="center"/>
                </w:tcPr>
                <w:p w14:paraId="6A093BF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bidi="ar"/>
                    </w:rPr>
                    <w:t>7/7/7</w:t>
                  </w:r>
                </w:p>
              </w:tc>
              <w:tc>
                <w:tcPr>
                  <w:tcW w:w="345" w:type="pct"/>
                  <w:vMerge w:val="restart"/>
                  <w:tcBorders>
                    <w:top w:val="nil"/>
                    <w:left w:val="nil"/>
                    <w:bottom w:val="single" w:color="000000" w:sz="8" w:space="0"/>
                    <w:right w:val="single" w:color="000000" w:sz="8" w:space="0"/>
                  </w:tcBorders>
                  <w:shd w:val="clear" w:color="auto" w:fill="auto"/>
                  <w:vAlign w:val="center"/>
                </w:tcPr>
                <w:p w14:paraId="2A69939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r>
            <w:tr w14:paraId="2D9C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42" w:type="pct"/>
                  <w:vMerge w:val="continue"/>
                  <w:tcBorders>
                    <w:top w:val="nil"/>
                    <w:left w:val="single" w:color="000000" w:sz="8" w:space="0"/>
                    <w:bottom w:val="single" w:color="000000" w:sz="8" w:space="0"/>
                    <w:right w:val="single" w:color="000000" w:sz="8" w:space="0"/>
                  </w:tcBorders>
                  <w:shd w:val="clear" w:color="auto" w:fill="auto"/>
                  <w:vAlign w:val="center"/>
                </w:tcPr>
                <w:p w14:paraId="4E942C3A">
                  <w:pPr>
                    <w:jc w:val="center"/>
                    <w:rPr>
                      <w:rFonts w:hint="eastAsia" w:ascii="宋体" w:hAnsi="宋体" w:eastAsia="宋体" w:cs="宋体"/>
                      <w:b/>
                      <w:bCs/>
                      <w:i w:val="0"/>
                      <w:iCs w:val="0"/>
                      <w:color w:val="auto"/>
                      <w:sz w:val="18"/>
                      <w:szCs w:val="18"/>
                      <w:u w:val="none"/>
                    </w:rPr>
                  </w:pPr>
                </w:p>
              </w:tc>
              <w:tc>
                <w:tcPr>
                  <w:tcW w:w="378" w:type="pct"/>
                  <w:vMerge w:val="continue"/>
                  <w:tcBorders>
                    <w:top w:val="nil"/>
                    <w:left w:val="nil"/>
                    <w:bottom w:val="single" w:color="000000" w:sz="8" w:space="0"/>
                    <w:right w:val="single" w:color="000000" w:sz="8" w:space="0"/>
                  </w:tcBorders>
                  <w:shd w:val="clear" w:color="auto" w:fill="auto"/>
                  <w:vAlign w:val="center"/>
                </w:tcPr>
                <w:p w14:paraId="1466DF81">
                  <w:pPr>
                    <w:jc w:val="center"/>
                    <w:rPr>
                      <w:rFonts w:hint="eastAsia" w:ascii="宋体" w:hAnsi="宋体" w:eastAsia="宋体" w:cs="宋体"/>
                      <w:b/>
                      <w:bCs/>
                      <w:i w:val="0"/>
                      <w:iCs w:val="0"/>
                      <w:color w:val="auto"/>
                      <w:sz w:val="18"/>
                      <w:szCs w:val="18"/>
                      <w:u w:val="none"/>
                    </w:rPr>
                  </w:pPr>
                </w:p>
              </w:tc>
              <w:tc>
                <w:tcPr>
                  <w:tcW w:w="1268" w:type="pct"/>
                  <w:tcBorders>
                    <w:top w:val="nil"/>
                    <w:left w:val="nil"/>
                    <w:bottom w:val="single" w:color="000000" w:sz="8" w:space="0"/>
                    <w:right w:val="single" w:color="000000" w:sz="8" w:space="0"/>
                  </w:tcBorders>
                  <w:shd w:val="clear" w:color="auto" w:fill="auto"/>
                  <w:vAlign w:val="center"/>
                </w:tcPr>
                <w:p w14:paraId="20020E6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LEHY-3-B</w:t>
                  </w:r>
                </w:p>
              </w:tc>
              <w:tc>
                <w:tcPr>
                  <w:tcW w:w="680" w:type="pct"/>
                  <w:vMerge w:val="continue"/>
                  <w:tcBorders>
                    <w:top w:val="nil"/>
                    <w:left w:val="nil"/>
                    <w:bottom w:val="single" w:color="000000" w:sz="8" w:space="0"/>
                    <w:right w:val="single" w:color="000000" w:sz="8" w:space="0"/>
                  </w:tcBorders>
                  <w:shd w:val="clear" w:color="auto" w:fill="auto"/>
                  <w:vAlign w:val="center"/>
                </w:tcPr>
                <w:p w14:paraId="6C8971DA">
                  <w:pPr>
                    <w:jc w:val="center"/>
                    <w:rPr>
                      <w:rFonts w:hint="eastAsia" w:ascii="宋体" w:hAnsi="宋体" w:eastAsia="宋体" w:cs="宋体"/>
                      <w:b/>
                      <w:bCs/>
                      <w:i w:val="0"/>
                      <w:iCs w:val="0"/>
                      <w:color w:val="auto"/>
                      <w:sz w:val="18"/>
                      <w:szCs w:val="18"/>
                      <w:u w:val="none"/>
                    </w:rPr>
                  </w:pPr>
                </w:p>
              </w:tc>
              <w:tc>
                <w:tcPr>
                  <w:tcW w:w="764" w:type="pct"/>
                  <w:vMerge w:val="continue"/>
                  <w:tcBorders>
                    <w:top w:val="nil"/>
                    <w:left w:val="nil"/>
                    <w:bottom w:val="single" w:color="000000" w:sz="8" w:space="0"/>
                    <w:right w:val="single" w:color="000000" w:sz="8" w:space="0"/>
                  </w:tcBorders>
                  <w:shd w:val="clear" w:color="auto" w:fill="auto"/>
                  <w:vAlign w:val="center"/>
                </w:tcPr>
                <w:p w14:paraId="680EDCE1">
                  <w:pPr>
                    <w:jc w:val="center"/>
                    <w:rPr>
                      <w:rFonts w:hint="eastAsia" w:ascii="宋体" w:hAnsi="宋体" w:eastAsia="宋体" w:cs="宋体"/>
                      <w:b/>
                      <w:bCs/>
                      <w:i w:val="0"/>
                      <w:iCs w:val="0"/>
                      <w:color w:val="auto"/>
                      <w:sz w:val="18"/>
                      <w:szCs w:val="18"/>
                      <w:u w:val="none"/>
                    </w:rPr>
                  </w:pPr>
                </w:p>
              </w:tc>
              <w:tc>
                <w:tcPr>
                  <w:tcW w:w="680" w:type="pct"/>
                  <w:vMerge w:val="continue"/>
                  <w:tcBorders>
                    <w:top w:val="nil"/>
                    <w:left w:val="nil"/>
                    <w:bottom w:val="single" w:color="000000" w:sz="8" w:space="0"/>
                    <w:right w:val="single" w:color="000000" w:sz="8" w:space="0"/>
                  </w:tcBorders>
                  <w:shd w:val="clear" w:color="auto" w:fill="auto"/>
                  <w:vAlign w:val="center"/>
                </w:tcPr>
                <w:p w14:paraId="1F454FB1">
                  <w:pPr>
                    <w:jc w:val="center"/>
                    <w:rPr>
                      <w:rFonts w:hint="eastAsia" w:ascii="宋体" w:hAnsi="宋体" w:eastAsia="宋体" w:cs="宋体"/>
                      <w:b/>
                      <w:bCs/>
                      <w:i w:val="0"/>
                      <w:iCs w:val="0"/>
                      <w:color w:val="auto"/>
                      <w:sz w:val="18"/>
                      <w:szCs w:val="18"/>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465BD85C">
                  <w:pPr>
                    <w:jc w:val="center"/>
                    <w:rPr>
                      <w:rFonts w:hint="eastAsia" w:ascii="宋体" w:hAnsi="宋体" w:eastAsia="宋体" w:cs="宋体"/>
                      <w:b/>
                      <w:bCs/>
                      <w:i w:val="0"/>
                      <w:iCs w:val="0"/>
                      <w:color w:val="auto"/>
                      <w:sz w:val="18"/>
                      <w:szCs w:val="18"/>
                      <w:u w:val="none"/>
                    </w:rPr>
                  </w:pPr>
                </w:p>
              </w:tc>
              <w:tc>
                <w:tcPr>
                  <w:tcW w:w="345" w:type="pct"/>
                  <w:vMerge w:val="continue"/>
                  <w:tcBorders>
                    <w:top w:val="nil"/>
                    <w:left w:val="nil"/>
                    <w:bottom w:val="single" w:color="000000" w:sz="8" w:space="0"/>
                    <w:right w:val="single" w:color="000000" w:sz="8" w:space="0"/>
                  </w:tcBorders>
                  <w:shd w:val="clear" w:color="auto" w:fill="auto"/>
                  <w:vAlign w:val="center"/>
                </w:tcPr>
                <w:p w14:paraId="7A837D34">
                  <w:pPr>
                    <w:jc w:val="center"/>
                    <w:rPr>
                      <w:rFonts w:hint="eastAsia" w:ascii="宋体" w:hAnsi="宋体" w:eastAsia="宋体" w:cs="宋体"/>
                      <w:b/>
                      <w:bCs/>
                      <w:i w:val="0"/>
                      <w:iCs w:val="0"/>
                      <w:color w:val="auto"/>
                      <w:sz w:val="18"/>
                      <w:szCs w:val="18"/>
                      <w:u w:val="none"/>
                    </w:rPr>
                  </w:pPr>
                </w:p>
              </w:tc>
            </w:tr>
            <w:tr w14:paraId="09D5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42" w:type="pct"/>
                  <w:vMerge w:val="restart"/>
                  <w:tcBorders>
                    <w:top w:val="nil"/>
                    <w:left w:val="single" w:color="000000" w:sz="8" w:space="0"/>
                    <w:bottom w:val="single" w:color="000000" w:sz="8" w:space="0"/>
                    <w:right w:val="single" w:color="000000" w:sz="8" w:space="0"/>
                  </w:tcBorders>
                  <w:shd w:val="clear" w:color="auto" w:fill="auto"/>
                  <w:vAlign w:val="center"/>
                </w:tcPr>
                <w:p w14:paraId="5924AA1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6号电梯</w:t>
                  </w:r>
                </w:p>
              </w:tc>
              <w:tc>
                <w:tcPr>
                  <w:tcW w:w="378" w:type="pct"/>
                  <w:vMerge w:val="restart"/>
                  <w:tcBorders>
                    <w:top w:val="nil"/>
                    <w:left w:val="nil"/>
                    <w:bottom w:val="single" w:color="000000" w:sz="8" w:space="0"/>
                    <w:right w:val="single" w:color="000000" w:sz="8" w:space="0"/>
                  </w:tcBorders>
                  <w:shd w:val="clear" w:color="auto" w:fill="auto"/>
                  <w:vAlign w:val="center"/>
                </w:tcPr>
                <w:p w14:paraId="4881E4C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医用电梯</w:t>
                  </w:r>
                </w:p>
              </w:tc>
              <w:tc>
                <w:tcPr>
                  <w:tcW w:w="1268" w:type="pct"/>
                  <w:tcBorders>
                    <w:top w:val="nil"/>
                    <w:left w:val="nil"/>
                    <w:bottom w:val="nil"/>
                    <w:right w:val="single" w:color="000000" w:sz="8" w:space="0"/>
                  </w:tcBorders>
                  <w:shd w:val="clear" w:color="auto" w:fill="auto"/>
                  <w:vAlign w:val="center"/>
                </w:tcPr>
                <w:p w14:paraId="77AA656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三菱</w:t>
                  </w:r>
                </w:p>
              </w:tc>
              <w:tc>
                <w:tcPr>
                  <w:tcW w:w="680" w:type="pct"/>
                  <w:vMerge w:val="restart"/>
                  <w:tcBorders>
                    <w:top w:val="nil"/>
                    <w:left w:val="nil"/>
                    <w:bottom w:val="single" w:color="000000" w:sz="8" w:space="0"/>
                    <w:right w:val="single" w:color="000000" w:sz="8" w:space="0"/>
                  </w:tcBorders>
                  <w:shd w:val="clear" w:color="auto" w:fill="auto"/>
                  <w:vAlign w:val="center"/>
                </w:tcPr>
                <w:p w14:paraId="5987A2E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1600</w:t>
                  </w:r>
                </w:p>
              </w:tc>
              <w:tc>
                <w:tcPr>
                  <w:tcW w:w="764" w:type="pct"/>
                  <w:vMerge w:val="restart"/>
                  <w:tcBorders>
                    <w:top w:val="nil"/>
                    <w:left w:val="nil"/>
                    <w:bottom w:val="single" w:color="000000" w:sz="8" w:space="0"/>
                    <w:right w:val="single" w:color="000000" w:sz="8" w:space="0"/>
                  </w:tcBorders>
                  <w:shd w:val="clear" w:color="auto" w:fill="auto"/>
                  <w:vAlign w:val="center"/>
                </w:tcPr>
                <w:p w14:paraId="343B2E2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680" w:type="pct"/>
                  <w:vMerge w:val="restart"/>
                  <w:tcBorders>
                    <w:top w:val="nil"/>
                    <w:left w:val="nil"/>
                    <w:bottom w:val="single" w:color="000000" w:sz="8" w:space="0"/>
                    <w:right w:val="single" w:color="000000" w:sz="8" w:space="0"/>
                  </w:tcBorders>
                  <w:shd w:val="clear" w:color="auto" w:fill="auto"/>
                  <w:vAlign w:val="center"/>
                </w:tcPr>
                <w:p w14:paraId="015C7FF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6.2</w:t>
                  </w:r>
                </w:p>
              </w:tc>
              <w:tc>
                <w:tcPr>
                  <w:tcW w:w="538" w:type="pct"/>
                  <w:vMerge w:val="restart"/>
                  <w:tcBorders>
                    <w:top w:val="nil"/>
                    <w:left w:val="nil"/>
                    <w:bottom w:val="single" w:color="000000" w:sz="8" w:space="0"/>
                    <w:right w:val="single" w:color="000000" w:sz="8" w:space="0"/>
                  </w:tcBorders>
                  <w:shd w:val="clear" w:color="auto" w:fill="auto"/>
                  <w:vAlign w:val="center"/>
                </w:tcPr>
                <w:p w14:paraId="5BBB32B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bidi="ar"/>
                    </w:rPr>
                    <w:t>7/7/7</w:t>
                  </w:r>
                </w:p>
              </w:tc>
              <w:tc>
                <w:tcPr>
                  <w:tcW w:w="345" w:type="pct"/>
                  <w:vMerge w:val="restart"/>
                  <w:tcBorders>
                    <w:top w:val="nil"/>
                    <w:left w:val="nil"/>
                    <w:bottom w:val="single" w:color="000000" w:sz="8" w:space="0"/>
                    <w:right w:val="single" w:color="000000" w:sz="8" w:space="0"/>
                  </w:tcBorders>
                  <w:shd w:val="clear" w:color="auto" w:fill="auto"/>
                  <w:vAlign w:val="center"/>
                </w:tcPr>
                <w:p w14:paraId="0C48BC1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r>
            <w:tr w14:paraId="5254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42" w:type="pct"/>
                  <w:vMerge w:val="continue"/>
                  <w:tcBorders>
                    <w:top w:val="nil"/>
                    <w:left w:val="single" w:color="000000" w:sz="8" w:space="0"/>
                    <w:bottom w:val="single" w:color="000000" w:sz="8" w:space="0"/>
                    <w:right w:val="single" w:color="000000" w:sz="8" w:space="0"/>
                  </w:tcBorders>
                  <w:shd w:val="clear" w:color="auto" w:fill="auto"/>
                  <w:vAlign w:val="center"/>
                </w:tcPr>
                <w:p w14:paraId="02A45FFA">
                  <w:pPr>
                    <w:jc w:val="center"/>
                    <w:rPr>
                      <w:rFonts w:hint="eastAsia" w:ascii="宋体" w:hAnsi="宋体" w:eastAsia="宋体" w:cs="宋体"/>
                      <w:b/>
                      <w:bCs/>
                      <w:i w:val="0"/>
                      <w:iCs w:val="0"/>
                      <w:color w:val="auto"/>
                      <w:sz w:val="18"/>
                      <w:szCs w:val="18"/>
                      <w:u w:val="none"/>
                    </w:rPr>
                  </w:pPr>
                </w:p>
              </w:tc>
              <w:tc>
                <w:tcPr>
                  <w:tcW w:w="378" w:type="pct"/>
                  <w:vMerge w:val="continue"/>
                  <w:tcBorders>
                    <w:top w:val="nil"/>
                    <w:left w:val="nil"/>
                    <w:bottom w:val="single" w:color="000000" w:sz="8" w:space="0"/>
                    <w:right w:val="single" w:color="000000" w:sz="8" w:space="0"/>
                  </w:tcBorders>
                  <w:shd w:val="clear" w:color="auto" w:fill="auto"/>
                  <w:vAlign w:val="center"/>
                </w:tcPr>
                <w:p w14:paraId="623C0754">
                  <w:pPr>
                    <w:jc w:val="center"/>
                    <w:rPr>
                      <w:rFonts w:hint="eastAsia" w:ascii="宋体" w:hAnsi="宋体" w:eastAsia="宋体" w:cs="宋体"/>
                      <w:b/>
                      <w:bCs/>
                      <w:i w:val="0"/>
                      <w:iCs w:val="0"/>
                      <w:color w:val="auto"/>
                      <w:sz w:val="18"/>
                      <w:szCs w:val="18"/>
                      <w:u w:val="none"/>
                    </w:rPr>
                  </w:pPr>
                </w:p>
              </w:tc>
              <w:tc>
                <w:tcPr>
                  <w:tcW w:w="1268" w:type="pct"/>
                  <w:tcBorders>
                    <w:top w:val="nil"/>
                    <w:left w:val="nil"/>
                    <w:bottom w:val="single" w:color="000000" w:sz="8" w:space="0"/>
                    <w:right w:val="single" w:color="000000" w:sz="8" w:space="0"/>
                  </w:tcBorders>
                  <w:shd w:val="clear" w:color="auto" w:fill="auto"/>
                  <w:vAlign w:val="center"/>
                </w:tcPr>
                <w:p w14:paraId="5CC873F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LEHY-3-B</w:t>
                  </w:r>
                </w:p>
              </w:tc>
              <w:tc>
                <w:tcPr>
                  <w:tcW w:w="680" w:type="pct"/>
                  <w:vMerge w:val="continue"/>
                  <w:tcBorders>
                    <w:top w:val="nil"/>
                    <w:left w:val="nil"/>
                    <w:bottom w:val="single" w:color="000000" w:sz="8" w:space="0"/>
                    <w:right w:val="single" w:color="000000" w:sz="8" w:space="0"/>
                  </w:tcBorders>
                  <w:shd w:val="clear" w:color="auto" w:fill="auto"/>
                  <w:vAlign w:val="center"/>
                </w:tcPr>
                <w:p w14:paraId="165585FB">
                  <w:pPr>
                    <w:jc w:val="center"/>
                    <w:rPr>
                      <w:rFonts w:hint="eastAsia" w:ascii="宋体" w:hAnsi="宋体" w:eastAsia="宋体" w:cs="宋体"/>
                      <w:b/>
                      <w:bCs/>
                      <w:i w:val="0"/>
                      <w:iCs w:val="0"/>
                      <w:color w:val="auto"/>
                      <w:sz w:val="18"/>
                      <w:szCs w:val="18"/>
                      <w:u w:val="none"/>
                    </w:rPr>
                  </w:pPr>
                </w:p>
              </w:tc>
              <w:tc>
                <w:tcPr>
                  <w:tcW w:w="764" w:type="pct"/>
                  <w:vMerge w:val="continue"/>
                  <w:tcBorders>
                    <w:top w:val="nil"/>
                    <w:left w:val="nil"/>
                    <w:bottom w:val="single" w:color="000000" w:sz="8" w:space="0"/>
                    <w:right w:val="single" w:color="000000" w:sz="8" w:space="0"/>
                  </w:tcBorders>
                  <w:shd w:val="clear" w:color="auto" w:fill="auto"/>
                  <w:vAlign w:val="center"/>
                </w:tcPr>
                <w:p w14:paraId="34AB7246">
                  <w:pPr>
                    <w:jc w:val="center"/>
                    <w:rPr>
                      <w:rFonts w:hint="eastAsia" w:ascii="宋体" w:hAnsi="宋体" w:eastAsia="宋体" w:cs="宋体"/>
                      <w:b/>
                      <w:bCs/>
                      <w:i w:val="0"/>
                      <w:iCs w:val="0"/>
                      <w:color w:val="auto"/>
                      <w:sz w:val="18"/>
                      <w:szCs w:val="18"/>
                      <w:u w:val="none"/>
                    </w:rPr>
                  </w:pPr>
                </w:p>
              </w:tc>
              <w:tc>
                <w:tcPr>
                  <w:tcW w:w="680" w:type="pct"/>
                  <w:vMerge w:val="continue"/>
                  <w:tcBorders>
                    <w:top w:val="nil"/>
                    <w:left w:val="nil"/>
                    <w:bottom w:val="single" w:color="000000" w:sz="8" w:space="0"/>
                    <w:right w:val="single" w:color="000000" w:sz="8" w:space="0"/>
                  </w:tcBorders>
                  <w:shd w:val="clear" w:color="auto" w:fill="auto"/>
                  <w:vAlign w:val="center"/>
                </w:tcPr>
                <w:p w14:paraId="6CA6F053">
                  <w:pPr>
                    <w:jc w:val="center"/>
                    <w:rPr>
                      <w:rFonts w:hint="eastAsia" w:ascii="宋体" w:hAnsi="宋体" w:eastAsia="宋体" w:cs="宋体"/>
                      <w:b/>
                      <w:bCs/>
                      <w:i w:val="0"/>
                      <w:iCs w:val="0"/>
                      <w:color w:val="auto"/>
                      <w:sz w:val="18"/>
                      <w:szCs w:val="18"/>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5277A2C7">
                  <w:pPr>
                    <w:jc w:val="center"/>
                    <w:rPr>
                      <w:rFonts w:hint="eastAsia" w:ascii="宋体" w:hAnsi="宋体" w:eastAsia="宋体" w:cs="宋体"/>
                      <w:b/>
                      <w:bCs/>
                      <w:i w:val="0"/>
                      <w:iCs w:val="0"/>
                      <w:color w:val="auto"/>
                      <w:sz w:val="18"/>
                      <w:szCs w:val="18"/>
                      <w:u w:val="none"/>
                    </w:rPr>
                  </w:pPr>
                </w:p>
              </w:tc>
              <w:tc>
                <w:tcPr>
                  <w:tcW w:w="345" w:type="pct"/>
                  <w:vMerge w:val="continue"/>
                  <w:tcBorders>
                    <w:top w:val="nil"/>
                    <w:left w:val="nil"/>
                    <w:bottom w:val="single" w:color="000000" w:sz="8" w:space="0"/>
                    <w:right w:val="single" w:color="000000" w:sz="8" w:space="0"/>
                  </w:tcBorders>
                  <w:shd w:val="clear" w:color="auto" w:fill="auto"/>
                  <w:vAlign w:val="center"/>
                </w:tcPr>
                <w:p w14:paraId="43F0DA5A">
                  <w:pPr>
                    <w:jc w:val="center"/>
                    <w:rPr>
                      <w:rFonts w:hint="eastAsia" w:ascii="宋体" w:hAnsi="宋体" w:eastAsia="宋体" w:cs="宋体"/>
                      <w:b/>
                      <w:bCs/>
                      <w:i w:val="0"/>
                      <w:iCs w:val="0"/>
                      <w:color w:val="auto"/>
                      <w:sz w:val="18"/>
                      <w:szCs w:val="18"/>
                      <w:u w:val="none"/>
                    </w:rPr>
                  </w:pPr>
                </w:p>
              </w:tc>
            </w:tr>
            <w:tr w14:paraId="18DD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42" w:type="pct"/>
                  <w:vMerge w:val="restart"/>
                  <w:tcBorders>
                    <w:top w:val="nil"/>
                    <w:left w:val="single" w:color="000000" w:sz="8" w:space="0"/>
                    <w:bottom w:val="single" w:color="000000" w:sz="8" w:space="0"/>
                    <w:right w:val="single" w:color="000000" w:sz="8" w:space="0"/>
                  </w:tcBorders>
                  <w:shd w:val="clear" w:color="auto" w:fill="auto"/>
                  <w:vAlign w:val="center"/>
                </w:tcPr>
                <w:p w14:paraId="1618297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7号电梯</w:t>
                  </w:r>
                </w:p>
              </w:tc>
              <w:tc>
                <w:tcPr>
                  <w:tcW w:w="378" w:type="pct"/>
                  <w:vMerge w:val="restart"/>
                  <w:tcBorders>
                    <w:top w:val="nil"/>
                    <w:left w:val="nil"/>
                    <w:bottom w:val="single" w:color="000000" w:sz="8" w:space="0"/>
                    <w:right w:val="single" w:color="000000" w:sz="8" w:space="0"/>
                  </w:tcBorders>
                  <w:shd w:val="clear" w:color="auto" w:fill="auto"/>
                  <w:vAlign w:val="center"/>
                </w:tcPr>
                <w:p w14:paraId="6D4174C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乘客电梯</w:t>
                  </w:r>
                </w:p>
              </w:tc>
              <w:tc>
                <w:tcPr>
                  <w:tcW w:w="1268" w:type="pct"/>
                  <w:tcBorders>
                    <w:top w:val="nil"/>
                    <w:left w:val="nil"/>
                    <w:bottom w:val="nil"/>
                    <w:right w:val="single" w:color="000000" w:sz="8" w:space="0"/>
                  </w:tcBorders>
                  <w:shd w:val="clear" w:color="auto" w:fill="auto"/>
                  <w:vAlign w:val="center"/>
                </w:tcPr>
                <w:p w14:paraId="6AAF95E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三菱</w:t>
                  </w:r>
                </w:p>
              </w:tc>
              <w:tc>
                <w:tcPr>
                  <w:tcW w:w="680" w:type="pct"/>
                  <w:vMerge w:val="restart"/>
                  <w:tcBorders>
                    <w:top w:val="nil"/>
                    <w:left w:val="nil"/>
                    <w:bottom w:val="single" w:color="000000" w:sz="8" w:space="0"/>
                    <w:right w:val="single" w:color="000000" w:sz="8" w:space="0"/>
                  </w:tcBorders>
                  <w:shd w:val="clear" w:color="auto" w:fill="auto"/>
                  <w:vAlign w:val="center"/>
                </w:tcPr>
                <w:p w14:paraId="6CB2505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825</w:t>
                  </w:r>
                </w:p>
              </w:tc>
              <w:tc>
                <w:tcPr>
                  <w:tcW w:w="764" w:type="pct"/>
                  <w:vMerge w:val="restart"/>
                  <w:tcBorders>
                    <w:top w:val="nil"/>
                    <w:left w:val="nil"/>
                    <w:bottom w:val="single" w:color="000000" w:sz="8" w:space="0"/>
                    <w:right w:val="single" w:color="000000" w:sz="8" w:space="0"/>
                  </w:tcBorders>
                  <w:shd w:val="clear" w:color="auto" w:fill="auto"/>
                  <w:vAlign w:val="center"/>
                </w:tcPr>
                <w:p w14:paraId="280ED75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680" w:type="pct"/>
                  <w:vMerge w:val="restart"/>
                  <w:tcBorders>
                    <w:top w:val="nil"/>
                    <w:left w:val="nil"/>
                    <w:bottom w:val="single" w:color="000000" w:sz="8" w:space="0"/>
                    <w:right w:val="single" w:color="000000" w:sz="8" w:space="0"/>
                  </w:tcBorders>
                  <w:shd w:val="clear" w:color="auto" w:fill="auto"/>
                  <w:vAlign w:val="center"/>
                </w:tcPr>
                <w:p w14:paraId="1E6413A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5.7</w:t>
                  </w:r>
                </w:p>
              </w:tc>
              <w:tc>
                <w:tcPr>
                  <w:tcW w:w="538" w:type="pct"/>
                  <w:vMerge w:val="restart"/>
                  <w:tcBorders>
                    <w:top w:val="nil"/>
                    <w:left w:val="nil"/>
                    <w:bottom w:val="single" w:color="000000" w:sz="8" w:space="0"/>
                    <w:right w:val="single" w:color="000000" w:sz="8" w:space="0"/>
                  </w:tcBorders>
                  <w:shd w:val="clear" w:color="auto" w:fill="auto"/>
                  <w:vAlign w:val="center"/>
                </w:tcPr>
                <w:p w14:paraId="265CBF4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bidi="ar"/>
                    </w:rPr>
                    <w:t>7/7/7</w:t>
                  </w:r>
                </w:p>
              </w:tc>
              <w:tc>
                <w:tcPr>
                  <w:tcW w:w="345" w:type="pct"/>
                  <w:vMerge w:val="restart"/>
                  <w:tcBorders>
                    <w:top w:val="nil"/>
                    <w:left w:val="nil"/>
                    <w:bottom w:val="single" w:color="000000" w:sz="8" w:space="0"/>
                    <w:right w:val="single" w:color="000000" w:sz="8" w:space="0"/>
                  </w:tcBorders>
                  <w:shd w:val="clear" w:color="auto" w:fill="auto"/>
                  <w:vAlign w:val="center"/>
                </w:tcPr>
                <w:p w14:paraId="55BADCB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r>
            <w:tr w14:paraId="65C2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42" w:type="pct"/>
                  <w:vMerge w:val="continue"/>
                  <w:tcBorders>
                    <w:top w:val="nil"/>
                    <w:left w:val="single" w:color="000000" w:sz="8" w:space="0"/>
                    <w:bottom w:val="single" w:color="000000" w:sz="8" w:space="0"/>
                    <w:right w:val="single" w:color="000000" w:sz="8" w:space="0"/>
                  </w:tcBorders>
                  <w:shd w:val="clear" w:color="auto" w:fill="auto"/>
                  <w:vAlign w:val="center"/>
                </w:tcPr>
                <w:p w14:paraId="65D1DAB6">
                  <w:pPr>
                    <w:jc w:val="center"/>
                    <w:rPr>
                      <w:rFonts w:hint="eastAsia" w:ascii="宋体" w:hAnsi="宋体" w:eastAsia="宋体" w:cs="宋体"/>
                      <w:b/>
                      <w:bCs/>
                      <w:i w:val="0"/>
                      <w:iCs w:val="0"/>
                      <w:color w:val="auto"/>
                      <w:sz w:val="18"/>
                      <w:szCs w:val="18"/>
                      <w:u w:val="none"/>
                    </w:rPr>
                  </w:pPr>
                </w:p>
              </w:tc>
              <w:tc>
                <w:tcPr>
                  <w:tcW w:w="378" w:type="pct"/>
                  <w:vMerge w:val="continue"/>
                  <w:tcBorders>
                    <w:top w:val="nil"/>
                    <w:left w:val="nil"/>
                    <w:bottom w:val="single" w:color="000000" w:sz="8" w:space="0"/>
                    <w:right w:val="single" w:color="000000" w:sz="8" w:space="0"/>
                  </w:tcBorders>
                  <w:shd w:val="clear" w:color="auto" w:fill="auto"/>
                  <w:vAlign w:val="center"/>
                </w:tcPr>
                <w:p w14:paraId="613AA95D">
                  <w:pPr>
                    <w:jc w:val="center"/>
                    <w:rPr>
                      <w:rFonts w:hint="eastAsia" w:ascii="宋体" w:hAnsi="宋体" w:eastAsia="宋体" w:cs="宋体"/>
                      <w:b/>
                      <w:bCs/>
                      <w:i w:val="0"/>
                      <w:iCs w:val="0"/>
                      <w:color w:val="auto"/>
                      <w:sz w:val="18"/>
                      <w:szCs w:val="18"/>
                      <w:u w:val="none"/>
                    </w:rPr>
                  </w:pPr>
                </w:p>
              </w:tc>
              <w:tc>
                <w:tcPr>
                  <w:tcW w:w="1268" w:type="pct"/>
                  <w:tcBorders>
                    <w:top w:val="nil"/>
                    <w:left w:val="nil"/>
                    <w:bottom w:val="single" w:color="000000" w:sz="8" w:space="0"/>
                    <w:right w:val="single" w:color="000000" w:sz="8" w:space="0"/>
                  </w:tcBorders>
                  <w:shd w:val="clear" w:color="auto" w:fill="auto"/>
                  <w:vAlign w:val="center"/>
                </w:tcPr>
                <w:p w14:paraId="6F8ED53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LEHY-3-S</w:t>
                  </w:r>
                </w:p>
              </w:tc>
              <w:tc>
                <w:tcPr>
                  <w:tcW w:w="680" w:type="pct"/>
                  <w:vMerge w:val="continue"/>
                  <w:tcBorders>
                    <w:top w:val="nil"/>
                    <w:left w:val="nil"/>
                    <w:bottom w:val="single" w:color="000000" w:sz="8" w:space="0"/>
                    <w:right w:val="single" w:color="000000" w:sz="8" w:space="0"/>
                  </w:tcBorders>
                  <w:shd w:val="clear" w:color="auto" w:fill="auto"/>
                  <w:vAlign w:val="center"/>
                </w:tcPr>
                <w:p w14:paraId="544A433F">
                  <w:pPr>
                    <w:jc w:val="center"/>
                    <w:rPr>
                      <w:rFonts w:hint="eastAsia" w:ascii="宋体" w:hAnsi="宋体" w:eastAsia="宋体" w:cs="宋体"/>
                      <w:b/>
                      <w:bCs/>
                      <w:i w:val="0"/>
                      <w:iCs w:val="0"/>
                      <w:color w:val="auto"/>
                      <w:sz w:val="18"/>
                      <w:szCs w:val="18"/>
                      <w:u w:val="none"/>
                    </w:rPr>
                  </w:pPr>
                </w:p>
              </w:tc>
              <w:tc>
                <w:tcPr>
                  <w:tcW w:w="764" w:type="pct"/>
                  <w:vMerge w:val="continue"/>
                  <w:tcBorders>
                    <w:top w:val="nil"/>
                    <w:left w:val="nil"/>
                    <w:bottom w:val="single" w:color="000000" w:sz="8" w:space="0"/>
                    <w:right w:val="single" w:color="000000" w:sz="8" w:space="0"/>
                  </w:tcBorders>
                  <w:shd w:val="clear" w:color="auto" w:fill="auto"/>
                  <w:vAlign w:val="center"/>
                </w:tcPr>
                <w:p w14:paraId="4C5A71FF">
                  <w:pPr>
                    <w:jc w:val="center"/>
                    <w:rPr>
                      <w:rFonts w:hint="eastAsia" w:ascii="宋体" w:hAnsi="宋体" w:eastAsia="宋体" w:cs="宋体"/>
                      <w:b/>
                      <w:bCs/>
                      <w:i w:val="0"/>
                      <w:iCs w:val="0"/>
                      <w:color w:val="auto"/>
                      <w:sz w:val="18"/>
                      <w:szCs w:val="18"/>
                      <w:u w:val="none"/>
                    </w:rPr>
                  </w:pPr>
                </w:p>
              </w:tc>
              <w:tc>
                <w:tcPr>
                  <w:tcW w:w="680" w:type="pct"/>
                  <w:vMerge w:val="continue"/>
                  <w:tcBorders>
                    <w:top w:val="nil"/>
                    <w:left w:val="nil"/>
                    <w:bottom w:val="single" w:color="000000" w:sz="8" w:space="0"/>
                    <w:right w:val="single" w:color="000000" w:sz="8" w:space="0"/>
                  </w:tcBorders>
                  <w:shd w:val="clear" w:color="auto" w:fill="auto"/>
                  <w:vAlign w:val="center"/>
                </w:tcPr>
                <w:p w14:paraId="47586F52">
                  <w:pPr>
                    <w:jc w:val="center"/>
                    <w:rPr>
                      <w:rFonts w:hint="eastAsia" w:ascii="宋体" w:hAnsi="宋体" w:eastAsia="宋体" w:cs="宋体"/>
                      <w:b/>
                      <w:bCs/>
                      <w:i w:val="0"/>
                      <w:iCs w:val="0"/>
                      <w:color w:val="auto"/>
                      <w:sz w:val="18"/>
                      <w:szCs w:val="18"/>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578E69AC">
                  <w:pPr>
                    <w:jc w:val="center"/>
                    <w:rPr>
                      <w:rFonts w:hint="eastAsia" w:ascii="宋体" w:hAnsi="宋体" w:eastAsia="宋体" w:cs="宋体"/>
                      <w:b/>
                      <w:bCs/>
                      <w:i w:val="0"/>
                      <w:iCs w:val="0"/>
                      <w:color w:val="auto"/>
                      <w:sz w:val="18"/>
                      <w:szCs w:val="18"/>
                      <w:u w:val="none"/>
                    </w:rPr>
                  </w:pPr>
                </w:p>
              </w:tc>
              <w:tc>
                <w:tcPr>
                  <w:tcW w:w="345" w:type="pct"/>
                  <w:vMerge w:val="continue"/>
                  <w:tcBorders>
                    <w:top w:val="nil"/>
                    <w:left w:val="nil"/>
                    <w:bottom w:val="single" w:color="000000" w:sz="8" w:space="0"/>
                    <w:right w:val="single" w:color="000000" w:sz="8" w:space="0"/>
                  </w:tcBorders>
                  <w:shd w:val="clear" w:color="auto" w:fill="auto"/>
                  <w:vAlign w:val="center"/>
                </w:tcPr>
                <w:p w14:paraId="1CEE3418">
                  <w:pPr>
                    <w:jc w:val="center"/>
                    <w:rPr>
                      <w:rFonts w:hint="eastAsia" w:ascii="宋体" w:hAnsi="宋体" w:eastAsia="宋体" w:cs="宋体"/>
                      <w:b/>
                      <w:bCs/>
                      <w:i w:val="0"/>
                      <w:iCs w:val="0"/>
                      <w:color w:val="auto"/>
                      <w:sz w:val="18"/>
                      <w:szCs w:val="18"/>
                      <w:u w:val="none"/>
                    </w:rPr>
                  </w:pPr>
                </w:p>
              </w:tc>
            </w:tr>
            <w:tr w14:paraId="12C1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42" w:type="pct"/>
                  <w:vMerge w:val="restart"/>
                  <w:tcBorders>
                    <w:top w:val="nil"/>
                    <w:left w:val="single" w:color="000000" w:sz="8" w:space="0"/>
                    <w:bottom w:val="single" w:color="000000" w:sz="8" w:space="0"/>
                    <w:right w:val="single" w:color="000000" w:sz="8" w:space="0"/>
                  </w:tcBorders>
                  <w:shd w:val="clear" w:color="auto" w:fill="auto"/>
                  <w:vAlign w:val="center"/>
                </w:tcPr>
                <w:p w14:paraId="29C293F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8号电梯</w:t>
                  </w:r>
                </w:p>
              </w:tc>
              <w:tc>
                <w:tcPr>
                  <w:tcW w:w="378" w:type="pct"/>
                  <w:vMerge w:val="restart"/>
                  <w:tcBorders>
                    <w:top w:val="nil"/>
                    <w:left w:val="nil"/>
                    <w:bottom w:val="single" w:color="000000" w:sz="8" w:space="0"/>
                    <w:right w:val="single" w:color="000000" w:sz="8" w:space="0"/>
                  </w:tcBorders>
                  <w:shd w:val="clear" w:color="auto" w:fill="auto"/>
                  <w:vAlign w:val="center"/>
                </w:tcPr>
                <w:p w14:paraId="147E714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乘客电梯</w:t>
                  </w:r>
                </w:p>
              </w:tc>
              <w:tc>
                <w:tcPr>
                  <w:tcW w:w="1268" w:type="pct"/>
                  <w:tcBorders>
                    <w:top w:val="nil"/>
                    <w:left w:val="nil"/>
                    <w:bottom w:val="nil"/>
                    <w:right w:val="single" w:color="000000" w:sz="8" w:space="0"/>
                  </w:tcBorders>
                  <w:shd w:val="clear" w:color="auto" w:fill="auto"/>
                  <w:vAlign w:val="center"/>
                </w:tcPr>
                <w:p w14:paraId="71D840A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三菱</w:t>
                  </w:r>
                </w:p>
              </w:tc>
              <w:tc>
                <w:tcPr>
                  <w:tcW w:w="680" w:type="pct"/>
                  <w:vMerge w:val="restart"/>
                  <w:tcBorders>
                    <w:top w:val="nil"/>
                    <w:left w:val="nil"/>
                    <w:bottom w:val="single" w:color="000000" w:sz="8" w:space="0"/>
                    <w:right w:val="single" w:color="000000" w:sz="8" w:space="0"/>
                  </w:tcBorders>
                  <w:shd w:val="clear" w:color="auto" w:fill="auto"/>
                  <w:vAlign w:val="center"/>
                </w:tcPr>
                <w:p w14:paraId="68CBE26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1050</w:t>
                  </w:r>
                </w:p>
              </w:tc>
              <w:tc>
                <w:tcPr>
                  <w:tcW w:w="764" w:type="pct"/>
                  <w:vMerge w:val="restart"/>
                  <w:tcBorders>
                    <w:top w:val="nil"/>
                    <w:left w:val="nil"/>
                    <w:bottom w:val="single" w:color="000000" w:sz="8" w:space="0"/>
                    <w:right w:val="single" w:color="000000" w:sz="8" w:space="0"/>
                  </w:tcBorders>
                  <w:shd w:val="clear" w:color="auto" w:fill="auto"/>
                  <w:vAlign w:val="center"/>
                </w:tcPr>
                <w:p w14:paraId="0B8035A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680" w:type="pct"/>
                  <w:vMerge w:val="restart"/>
                  <w:tcBorders>
                    <w:top w:val="nil"/>
                    <w:left w:val="nil"/>
                    <w:bottom w:val="single" w:color="000000" w:sz="8" w:space="0"/>
                    <w:right w:val="single" w:color="000000" w:sz="8" w:space="0"/>
                  </w:tcBorders>
                  <w:shd w:val="clear" w:color="auto" w:fill="auto"/>
                  <w:vAlign w:val="center"/>
                </w:tcPr>
                <w:p w14:paraId="0F899A7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5.7</w:t>
                  </w:r>
                </w:p>
              </w:tc>
              <w:tc>
                <w:tcPr>
                  <w:tcW w:w="538" w:type="pct"/>
                  <w:vMerge w:val="restart"/>
                  <w:tcBorders>
                    <w:top w:val="nil"/>
                    <w:left w:val="nil"/>
                    <w:bottom w:val="single" w:color="000000" w:sz="8" w:space="0"/>
                    <w:right w:val="single" w:color="000000" w:sz="8" w:space="0"/>
                  </w:tcBorders>
                  <w:shd w:val="clear" w:color="auto" w:fill="auto"/>
                  <w:vAlign w:val="center"/>
                </w:tcPr>
                <w:p w14:paraId="471F9C0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bidi="ar"/>
                    </w:rPr>
                    <w:t>7/7/7</w:t>
                  </w:r>
                </w:p>
              </w:tc>
              <w:tc>
                <w:tcPr>
                  <w:tcW w:w="345" w:type="pct"/>
                  <w:vMerge w:val="restart"/>
                  <w:tcBorders>
                    <w:top w:val="nil"/>
                    <w:left w:val="nil"/>
                    <w:bottom w:val="single" w:color="000000" w:sz="8" w:space="0"/>
                    <w:right w:val="single" w:color="000000" w:sz="8" w:space="0"/>
                  </w:tcBorders>
                  <w:shd w:val="clear" w:color="auto" w:fill="auto"/>
                  <w:vAlign w:val="center"/>
                </w:tcPr>
                <w:p w14:paraId="4447FCC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r>
            <w:tr w14:paraId="7A59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42" w:type="pct"/>
                  <w:vMerge w:val="continue"/>
                  <w:tcBorders>
                    <w:top w:val="nil"/>
                    <w:left w:val="single" w:color="000000" w:sz="8" w:space="0"/>
                    <w:bottom w:val="single" w:color="000000" w:sz="8" w:space="0"/>
                    <w:right w:val="single" w:color="000000" w:sz="8" w:space="0"/>
                  </w:tcBorders>
                  <w:shd w:val="clear" w:color="auto" w:fill="auto"/>
                  <w:vAlign w:val="center"/>
                </w:tcPr>
                <w:p w14:paraId="77910F68">
                  <w:pPr>
                    <w:jc w:val="center"/>
                    <w:rPr>
                      <w:rFonts w:hint="eastAsia" w:ascii="宋体" w:hAnsi="宋体" w:eastAsia="宋体" w:cs="宋体"/>
                      <w:b/>
                      <w:bCs/>
                      <w:i w:val="0"/>
                      <w:iCs w:val="0"/>
                      <w:color w:val="auto"/>
                      <w:sz w:val="18"/>
                      <w:szCs w:val="18"/>
                      <w:u w:val="none"/>
                    </w:rPr>
                  </w:pPr>
                </w:p>
              </w:tc>
              <w:tc>
                <w:tcPr>
                  <w:tcW w:w="378" w:type="pct"/>
                  <w:vMerge w:val="continue"/>
                  <w:tcBorders>
                    <w:top w:val="nil"/>
                    <w:left w:val="nil"/>
                    <w:bottom w:val="single" w:color="000000" w:sz="8" w:space="0"/>
                    <w:right w:val="single" w:color="000000" w:sz="8" w:space="0"/>
                  </w:tcBorders>
                  <w:shd w:val="clear" w:color="auto" w:fill="auto"/>
                  <w:vAlign w:val="center"/>
                </w:tcPr>
                <w:p w14:paraId="53C4FFCD">
                  <w:pPr>
                    <w:jc w:val="center"/>
                    <w:rPr>
                      <w:rFonts w:hint="eastAsia" w:ascii="宋体" w:hAnsi="宋体" w:eastAsia="宋体" w:cs="宋体"/>
                      <w:b/>
                      <w:bCs/>
                      <w:i w:val="0"/>
                      <w:iCs w:val="0"/>
                      <w:color w:val="auto"/>
                      <w:sz w:val="18"/>
                      <w:szCs w:val="18"/>
                      <w:u w:val="none"/>
                    </w:rPr>
                  </w:pPr>
                </w:p>
              </w:tc>
              <w:tc>
                <w:tcPr>
                  <w:tcW w:w="1268" w:type="pct"/>
                  <w:tcBorders>
                    <w:top w:val="nil"/>
                    <w:left w:val="nil"/>
                    <w:bottom w:val="single" w:color="000000" w:sz="8" w:space="0"/>
                    <w:right w:val="single" w:color="000000" w:sz="8" w:space="0"/>
                  </w:tcBorders>
                  <w:shd w:val="clear" w:color="auto" w:fill="auto"/>
                  <w:vAlign w:val="center"/>
                </w:tcPr>
                <w:p w14:paraId="4268550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LEHY-3-S</w:t>
                  </w:r>
                </w:p>
              </w:tc>
              <w:tc>
                <w:tcPr>
                  <w:tcW w:w="680" w:type="pct"/>
                  <w:vMerge w:val="continue"/>
                  <w:tcBorders>
                    <w:top w:val="nil"/>
                    <w:left w:val="nil"/>
                    <w:bottom w:val="single" w:color="000000" w:sz="8" w:space="0"/>
                    <w:right w:val="single" w:color="000000" w:sz="8" w:space="0"/>
                  </w:tcBorders>
                  <w:shd w:val="clear" w:color="auto" w:fill="auto"/>
                  <w:vAlign w:val="center"/>
                </w:tcPr>
                <w:p w14:paraId="11CEBBDC">
                  <w:pPr>
                    <w:jc w:val="center"/>
                    <w:rPr>
                      <w:rFonts w:hint="eastAsia" w:ascii="宋体" w:hAnsi="宋体" w:eastAsia="宋体" w:cs="宋体"/>
                      <w:b/>
                      <w:bCs/>
                      <w:i w:val="0"/>
                      <w:iCs w:val="0"/>
                      <w:color w:val="auto"/>
                      <w:sz w:val="18"/>
                      <w:szCs w:val="18"/>
                      <w:u w:val="none"/>
                    </w:rPr>
                  </w:pPr>
                </w:p>
              </w:tc>
              <w:tc>
                <w:tcPr>
                  <w:tcW w:w="764" w:type="pct"/>
                  <w:vMerge w:val="continue"/>
                  <w:tcBorders>
                    <w:top w:val="nil"/>
                    <w:left w:val="nil"/>
                    <w:bottom w:val="single" w:color="000000" w:sz="8" w:space="0"/>
                    <w:right w:val="single" w:color="000000" w:sz="8" w:space="0"/>
                  </w:tcBorders>
                  <w:shd w:val="clear" w:color="auto" w:fill="auto"/>
                  <w:vAlign w:val="center"/>
                </w:tcPr>
                <w:p w14:paraId="6E89C3D6">
                  <w:pPr>
                    <w:jc w:val="center"/>
                    <w:rPr>
                      <w:rFonts w:hint="eastAsia" w:ascii="宋体" w:hAnsi="宋体" w:eastAsia="宋体" w:cs="宋体"/>
                      <w:b/>
                      <w:bCs/>
                      <w:i w:val="0"/>
                      <w:iCs w:val="0"/>
                      <w:color w:val="auto"/>
                      <w:sz w:val="18"/>
                      <w:szCs w:val="18"/>
                      <w:u w:val="none"/>
                    </w:rPr>
                  </w:pPr>
                </w:p>
              </w:tc>
              <w:tc>
                <w:tcPr>
                  <w:tcW w:w="680" w:type="pct"/>
                  <w:vMerge w:val="continue"/>
                  <w:tcBorders>
                    <w:top w:val="nil"/>
                    <w:left w:val="nil"/>
                    <w:bottom w:val="single" w:color="000000" w:sz="8" w:space="0"/>
                    <w:right w:val="single" w:color="000000" w:sz="8" w:space="0"/>
                  </w:tcBorders>
                  <w:shd w:val="clear" w:color="auto" w:fill="auto"/>
                  <w:vAlign w:val="center"/>
                </w:tcPr>
                <w:p w14:paraId="4A60467A">
                  <w:pPr>
                    <w:jc w:val="center"/>
                    <w:rPr>
                      <w:rFonts w:hint="eastAsia" w:ascii="宋体" w:hAnsi="宋体" w:eastAsia="宋体" w:cs="宋体"/>
                      <w:b/>
                      <w:bCs/>
                      <w:i w:val="0"/>
                      <w:iCs w:val="0"/>
                      <w:color w:val="auto"/>
                      <w:sz w:val="18"/>
                      <w:szCs w:val="18"/>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0E8618B3">
                  <w:pPr>
                    <w:jc w:val="center"/>
                    <w:rPr>
                      <w:rFonts w:hint="eastAsia" w:ascii="宋体" w:hAnsi="宋体" w:eastAsia="宋体" w:cs="宋体"/>
                      <w:b/>
                      <w:bCs/>
                      <w:i w:val="0"/>
                      <w:iCs w:val="0"/>
                      <w:color w:val="auto"/>
                      <w:sz w:val="18"/>
                      <w:szCs w:val="18"/>
                      <w:u w:val="none"/>
                    </w:rPr>
                  </w:pPr>
                </w:p>
              </w:tc>
              <w:tc>
                <w:tcPr>
                  <w:tcW w:w="345" w:type="pct"/>
                  <w:vMerge w:val="continue"/>
                  <w:tcBorders>
                    <w:top w:val="nil"/>
                    <w:left w:val="nil"/>
                    <w:bottom w:val="single" w:color="000000" w:sz="8" w:space="0"/>
                    <w:right w:val="single" w:color="000000" w:sz="8" w:space="0"/>
                  </w:tcBorders>
                  <w:shd w:val="clear" w:color="auto" w:fill="auto"/>
                  <w:vAlign w:val="center"/>
                </w:tcPr>
                <w:p w14:paraId="7F72A374">
                  <w:pPr>
                    <w:jc w:val="center"/>
                    <w:rPr>
                      <w:rFonts w:hint="eastAsia" w:ascii="宋体" w:hAnsi="宋体" w:eastAsia="宋体" w:cs="宋体"/>
                      <w:b/>
                      <w:bCs/>
                      <w:i w:val="0"/>
                      <w:iCs w:val="0"/>
                      <w:color w:val="auto"/>
                      <w:sz w:val="18"/>
                      <w:szCs w:val="18"/>
                      <w:u w:val="none"/>
                    </w:rPr>
                  </w:pPr>
                </w:p>
              </w:tc>
            </w:tr>
            <w:tr w14:paraId="2836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42" w:type="pct"/>
                  <w:vMerge w:val="restart"/>
                  <w:tcBorders>
                    <w:top w:val="nil"/>
                    <w:left w:val="single" w:color="000000" w:sz="8" w:space="0"/>
                    <w:bottom w:val="single" w:color="000000" w:sz="8" w:space="0"/>
                    <w:right w:val="single" w:color="000000" w:sz="8" w:space="0"/>
                  </w:tcBorders>
                  <w:shd w:val="clear" w:color="auto" w:fill="auto"/>
                  <w:vAlign w:val="center"/>
                </w:tcPr>
                <w:p w14:paraId="3B8D9D8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9号电梯</w:t>
                  </w:r>
                </w:p>
              </w:tc>
              <w:tc>
                <w:tcPr>
                  <w:tcW w:w="378" w:type="pct"/>
                  <w:vMerge w:val="restart"/>
                  <w:tcBorders>
                    <w:top w:val="nil"/>
                    <w:left w:val="nil"/>
                    <w:bottom w:val="single" w:color="000000" w:sz="8" w:space="0"/>
                    <w:right w:val="single" w:color="000000" w:sz="8" w:space="0"/>
                  </w:tcBorders>
                  <w:shd w:val="clear" w:color="auto" w:fill="auto"/>
                  <w:vAlign w:val="center"/>
                </w:tcPr>
                <w:p w14:paraId="704A0C3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杂物电梯</w:t>
                  </w:r>
                </w:p>
              </w:tc>
              <w:tc>
                <w:tcPr>
                  <w:tcW w:w="1268" w:type="pct"/>
                  <w:tcBorders>
                    <w:top w:val="nil"/>
                    <w:left w:val="nil"/>
                    <w:bottom w:val="nil"/>
                    <w:right w:val="single" w:color="000000" w:sz="8" w:space="0"/>
                  </w:tcBorders>
                  <w:shd w:val="clear" w:color="auto" w:fill="auto"/>
                  <w:vAlign w:val="center"/>
                </w:tcPr>
                <w:p w14:paraId="5052697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硕鼎电梯</w:t>
                  </w:r>
                </w:p>
              </w:tc>
              <w:tc>
                <w:tcPr>
                  <w:tcW w:w="680" w:type="pct"/>
                  <w:vMerge w:val="restart"/>
                  <w:tcBorders>
                    <w:top w:val="nil"/>
                    <w:left w:val="nil"/>
                    <w:bottom w:val="single" w:color="000000" w:sz="8" w:space="0"/>
                    <w:right w:val="single" w:color="000000" w:sz="8" w:space="0"/>
                  </w:tcBorders>
                  <w:shd w:val="clear" w:color="auto" w:fill="auto"/>
                  <w:vAlign w:val="center"/>
                </w:tcPr>
                <w:p w14:paraId="3797F95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100</w:t>
                  </w:r>
                </w:p>
              </w:tc>
              <w:tc>
                <w:tcPr>
                  <w:tcW w:w="764" w:type="pct"/>
                  <w:vMerge w:val="restart"/>
                  <w:tcBorders>
                    <w:top w:val="nil"/>
                    <w:left w:val="nil"/>
                    <w:bottom w:val="single" w:color="000000" w:sz="8" w:space="0"/>
                    <w:right w:val="single" w:color="000000" w:sz="8" w:space="0"/>
                  </w:tcBorders>
                  <w:shd w:val="clear" w:color="auto" w:fill="auto"/>
                  <w:vAlign w:val="center"/>
                </w:tcPr>
                <w:p w14:paraId="7ED522B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0.4</w:t>
                  </w:r>
                </w:p>
              </w:tc>
              <w:tc>
                <w:tcPr>
                  <w:tcW w:w="680" w:type="pct"/>
                  <w:vMerge w:val="restart"/>
                  <w:tcBorders>
                    <w:top w:val="nil"/>
                    <w:left w:val="nil"/>
                    <w:bottom w:val="single" w:color="000000" w:sz="8" w:space="0"/>
                    <w:right w:val="single" w:color="000000" w:sz="8" w:space="0"/>
                  </w:tcBorders>
                  <w:shd w:val="clear" w:color="auto" w:fill="auto"/>
                  <w:vAlign w:val="center"/>
                </w:tcPr>
                <w:p w14:paraId="2CA7583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1.1</w:t>
                  </w:r>
                </w:p>
              </w:tc>
              <w:tc>
                <w:tcPr>
                  <w:tcW w:w="538" w:type="pct"/>
                  <w:vMerge w:val="restart"/>
                  <w:tcBorders>
                    <w:top w:val="nil"/>
                    <w:left w:val="nil"/>
                    <w:bottom w:val="single" w:color="000000" w:sz="8" w:space="0"/>
                    <w:right w:val="single" w:color="000000" w:sz="8" w:space="0"/>
                  </w:tcBorders>
                  <w:shd w:val="clear" w:color="auto" w:fill="auto"/>
                  <w:vAlign w:val="center"/>
                </w:tcPr>
                <w:p w14:paraId="6344ABD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bidi="ar"/>
                    </w:rPr>
                    <w:t>2/2/2</w:t>
                  </w:r>
                </w:p>
              </w:tc>
              <w:tc>
                <w:tcPr>
                  <w:tcW w:w="345" w:type="pct"/>
                  <w:vMerge w:val="restart"/>
                  <w:tcBorders>
                    <w:top w:val="nil"/>
                    <w:left w:val="nil"/>
                    <w:bottom w:val="single" w:color="000000" w:sz="8" w:space="0"/>
                    <w:right w:val="single" w:color="000000" w:sz="8" w:space="0"/>
                  </w:tcBorders>
                  <w:shd w:val="clear" w:color="auto" w:fill="auto"/>
                  <w:vAlign w:val="center"/>
                </w:tcPr>
                <w:p w14:paraId="2F79A2A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r>
            <w:tr w14:paraId="645B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42" w:type="pct"/>
                  <w:vMerge w:val="continue"/>
                  <w:tcBorders>
                    <w:top w:val="nil"/>
                    <w:left w:val="single" w:color="000000" w:sz="8" w:space="0"/>
                    <w:bottom w:val="single" w:color="000000" w:sz="8" w:space="0"/>
                    <w:right w:val="single" w:color="000000" w:sz="8" w:space="0"/>
                  </w:tcBorders>
                  <w:shd w:val="clear" w:color="auto" w:fill="auto"/>
                  <w:vAlign w:val="center"/>
                </w:tcPr>
                <w:p w14:paraId="5EF398F4">
                  <w:pPr>
                    <w:jc w:val="center"/>
                    <w:rPr>
                      <w:rFonts w:hint="eastAsia" w:ascii="宋体" w:hAnsi="宋体" w:eastAsia="宋体" w:cs="宋体"/>
                      <w:b/>
                      <w:bCs/>
                      <w:i w:val="0"/>
                      <w:iCs w:val="0"/>
                      <w:color w:val="auto"/>
                      <w:sz w:val="18"/>
                      <w:szCs w:val="18"/>
                      <w:u w:val="none"/>
                    </w:rPr>
                  </w:pPr>
                </w:p>
              </w:tc>
              <w:tc>
                <w:tcPr>
                  <w:tcW w:w="378" w:type="pct"/>
                  <w:vMerge w:val="continue"/>
                  <w:tcBorders>
                    <w:top w:val="nil"/>
                    <w:left w:val="nil"/>
                    <w:bottom w:val="single" w:color="000000" w:sz="8" w:space="0"/>
                    <w:right w:val="single" w:color="000000" w:sz="8" w:space="0"/>
                  </w:tcBorders>
                  <w:shd w:val="clear" w:color="auto" w:fill="auto"/>
                  <w:vAlign w:val="center"/>
                </w:tcPr>
                <w:p w14:paraId="5AE122B9">
                  <w:pPr>
                    <w:jc w:val="center"/>
                    <w:rPr>
                      <w:rFonts w:hint="eastAsia" w:ascii="宋体" w:hAnsi="宋体" w:eastAsia="宋体" w:cs="宋体"/>
                      <w:b/>
                      <w:bCs/>
                      <w:i w:val="0"/>
                      <w:iCs w:val="0"/>
                      <w:color w:val="auto"/>
                      <w:sz w:val="18"/>
                      <w:szCs w:val="18"/>
                      <w:u w:val="none"/>
                    </w:rPr>
                  </w:pPr>
                </w:p>
              </w:tc>
              <w:tc>
                <w:tcPr>
                  <w:tcW w:w="1268" w:type="pct"/>
                  <w:tcBorders>
                    <w:top w:val="nil"/>
                    <w:left w:val="nil"/>
                    <w:bottom w:val="single" w:color="000000" w:sz="8" w:space="0"/>
                    <w:right w:val="single" w:color="000000" w:sz="8" w:space="0"/>
                  </w:tcBorders>
                  <w:shd w:val="clear" w:color="auto" w:fill="auto"/>
                  <w:vAlign w:val="center"/>
                </w:tcPr>
                <w:p w14:paraId="3C3B185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TW16</w:t>
                  </w:r>
                </w:p>
              </w:tc>
              <w:tc>
                <w:tcPr>
                  <w:tcW w:w="680" w:type="pct"/>
                  <w:vMerge w:val="continue"/>
                  <w:tcBorders>
                    <w:top w:val="nil"/>
                    <w:left w:val="nil"/>
                    <w:bottom w:val="single" w:color="000000" w:sz="8" w:space="0"/>
                    <w:right w:val="single" w:color="000000" w:sz="8" w:space="0"/>
                  </w:tcBorders>
                  <w:shd w:val="clear" w:color="auto" w:fill="auto"/>
                  <w:vAlign w:val="center"/>
                </w:tcPr>
                <w:p w14:paraId="2304B584">
                  <w:pPr>
                    <w:jc w:val="center"/>
                    <w:rPr>
                      <w:rFonts w:hint="eastAsia" w:ascii="宋体" w:hAnsi="宋体" w:eastAsia="宋体" w:cs="宋体"/>
                      <w:b/>
                      <w:bCs/>
                      <w:i w:val="0"/>
                      <w:iCs w:val="0"/>
                      <w:color w:val="auto"/>
                      <w:sz w:val="18"/>
                      <w:szCs w:val="18"/>
                      <w:u w:val="none"/>
                    </w:rPr>
                  </w:pPr>
                </w:p>
              </w:tc>
              <w:tc>
                <w:tcPr>
                  <w:tcW w:w="764" w:type="pct"/>
                  <w:vMerge w:val="continue"/>
                  <w:tcBorders>
                    <w:top w:val="nil"/>
                    <w:left w:val="nil"/>
                    <w:bottom w:val="single" w:color="000000" w:sz="8" w:space="0"/>
                    <w:right w:val="single" w:color="000000" w:sz="8" w:space="0"/>
                  </w:tcBorders>
                  <w:shd w:val="clear" w:color="auto" w:fill="auto"/>
                  <w:vAlign w:val="center"/>
                </w:tcPr>
                <w:p w14:paraId="7F253835">
                  <w:pPr>
                    <w:jc w:val="center"/>
                    <w:rPr>
                      <w:rFonts w:hint="eastAsia" w:ascii="宋体" w:hAnsi="宋体" w:eastAsia="宋体" w:cs="宋体"/>
                      <w:b/>
                      <w:bCs/>
                      <w:i w:val="0"/>
                      <w:iCs w:val="0"/>
                      <w:color w:val="auto"/>
                      <w:sz w:val="18"/>
                      <w:szCs w:val="18"/>
                      <w:u w:val="none"/>
                    </w:rPr>
                  </w:pPr>
                </w:p>
              </w:tc>
              <w:tc>
                <w:tcPr>
                  <w:tcW w:w="680" w:type="pct"/>
                  <w:vMerge w:val="continue"/>
                  <w:tcBorders>
                    <w:top w:val="nil"/>
                    <w:left w:val="nil"/>
                    <w:bottom w:val="single" w:color="000000" w:sz="8" w:space="0"/>
                    <w:right w:val="single" w:color="000000" w:sz="8" w:space="0"/>
                  </w:tcBorders>
                  <w:shd w:val="clear" w:color="auto" w:fill="auto"/>
                  <w:vAlign w:val="center"/>
                </w:tcPr>
                <w:p w14:paraId="42C1FCF5">
                  <w:pPr>
                    <w:jc w:val="center"/>
                    <w:rPr>
                      <w:rFonts w:hint="eastAsia" w:ascii="宋体" w:hAnsi="宋体" w:eastAsia="宋体" w:cs="宋体"/>
                      <w:b/>
                      <w:bCs/>
                      <w:i w:val="0"/>
                      <w:iCs w:val="0"/>
                      <w:color w:val="auto"/>
                      <w:sz w:val="18"/>
                      <w:szCs w:val="18"/>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02B72EAF">
                  <w:pPr>
                    <w:jc w:val="center"/>
                    <w:rPr>
                      <w:rFonts w:hint="eastAsia" w:ascii="宋体" w:hAnsi="宋体" w:eastAsia="宋体" w:cs="宋体"/>
                      <w:b/>
                      <w:bCs/>
                      <w:i w:val="0"/>
                      <w:iCs w:val="0"/>
                      <w:color w:val="auto"/>
                      <w:sz w:val="18"/>
                      <w:szCs w:val="18"/>
                      <w:u w:val="none"/>
                    </w:rPr>
                  </w:pPr>
                </w:p>
              </w:tc>
              <w:tc>
                <w:tcPr>
                  <w:tcW w:w="345" w:type="pct"/>
                  <w:vMerge w:val="continue"/>
                  <w:tcBorders>
                    <w:top w:val="nil"/>
                    <w:left w:val="nil"/>
                    <w:bottom w:val="single" w:color="000000" w:sz="8" w:space="0"/>
                    <w:right w:val="single" w:color="000000" w:sz="8" w:space="0"/>
                  </w:tcBorders>
                  <w:shd w:val="clear" w:color="auto" w:fill="auto"/>
                  <w:vAlign w:val="center"/>
                </w:tcPr>
                <w:p w14:paraId="3C026E40">
                  <w:pPr>
                    <w:jc w:val="center"/>
                    <w:rPr>
                      <w:rFonts w:hint="eastAsia" w:ascii="宋体" w:hAnsi="宋体" w:eastAsia="宋体" w:cs="宋体"/>
                      <w:b/>
                      <w:bCs/>
                      <w:i w:val="0"/>
                      <w:iCs w:val="0"/>
                      <w:color w:val="auto"/>
                      <w:sz w:val="18"/>
                      <w:szCs w:val="18"/>
                      <w:u w:val="none"/>
                    </w:rPr>
                  </w:pPr>
                </w:p>
              </w:tc>
            </w:tr>
            <w:tr w14:paraId="68D5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42" w:type="pct"/>
                  <w:vMerge w:val="restart"/>
                  <w:tcBorders>
                    <w:top w:val="nil"/>
                    <w:left w:val="single" w:color="000000" w:sz="8" w:space="0"/>
                    <w:bottom w:val="single" w:color="000000" w:sz="8" w:space="0"/>
                    <w:right w:val="single" w:color="000000" w:sz="8" w:space="0"/>
                  </w:tcBorders>
                  <w:shd w:val="clear" w:color="auto" w:fill="auto"/>
                  <w:vAlign w:val="center"/>
                </w:tcPr>
                <w:p w14:paraId="4377D857">
                  <w:pPr>
                    <w:keepNext w:val="0"/>
                    <w:keepLines w:val="0"/>
                    <w:widowControl/>
                    <w:suppressLineNumbers w:val="0"/>
                    <w:jc w:val="center"/>
                    <w:textAlignment w:val="top"/>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10号电梯</w:t>
                  </w:r>
                </w:p>
              </w:tc>
              <w:tc>
                <w:tcPr>
                  <w:tcW w:w="378" w:type="pct"/>
                  <w:vMerge w:val="restart"/>
                  <w:tcBorders>
                    <w:top w:val="nil"/>
                    <w:left w:val="nil"/>
                    <w:bottom w:val="single" w:color="000000" w:sz="8" w:space="0"/>
                    <w:right w:val="single" w:color="000000" w:sz="8" w:space="0"/>
                  </w:tcBorders>
                  <w:shd w:val="clear" w:color="auto" w:fill="auto"/>
                  <w:vAlign w:val="center"/>
                </w:tcPr>
                <w:p w14:paraId="5F05250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医用电梯</w:t>
                  </w:r>
                </w:p>
              </w:tc>
              <w:tc>
                <w:tcPr>
                  <w:tcW w:w="1268" w:type="pct"/>
                  <w:tcBorders>
                    <w:top w:val="nil"/>
                    <w:left w:val="nil"/>
                    <w:bottom w:val="nil"/>
                    <w:right w:val="single" w:color="000000" w:sz="8" w:space="0"/>
                  </w:tcBorders>
                  <w:shd w:val="clear" w:color="auto" w:fill="auto"/>
                  <w:vAlign w:val="center"/>
                </w:tcPr>
                <w:p w14:paraId="753C634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四川快速</w:t>
                  </w:r>
                </w:p>
              </w:tc>
              <w:tc>
                <w:tcPr>
                  <w:tcW w:w="680" w:type="pct"/>
                  <w:vMerge w:val="restart"/>
                  <w:tcBorders>
                    <w:top w:val="nil"/>
                    <w:left w:val="nil"/>
                    <w:bottom w:val="single" w:color="000000" w:sz="8" w:space="0"/>
                    <w:right w:val="single" w:color="000000" w:sz="8" w:space="0"/>
                  </w:tcBorders>
                  <w:shd w:val="clear" w:color="auto" w:fill="auto"/>
                  <w:vAlign w:val="center"/>
                </w:tcPr>
                <w:p w14:paraId="5A92CAF9">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1600</w:t>
                  </w:r>
                </w:p>
              </w:tc>
              <w:tc>
                <w:tcPr>
                  <w:tcW w:w="764" w:type="pct"/>
                  <w:vMerge w:val="restart"/>
                  <w:tcBorders>
                    <w:top w:val="nil"/>
                    <w:left w:val="nil"/>
                    <w:bottom w:val="single" w:color="000000" w:sz="8" w:space="0"/>
                    <w:right w:val="single" w:color="000000" w:sz="8" w:space="0"/>
                  </w:tcBorders>
                  <w:shd w:val="clear" w:color="auto" w:fill="auto"/>
                  <w:vAlign w:val="center"/>
                </w:tcPr>
                <w:p w14:paraId="4A6220D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680" w:type="pct"/>
                  <w:vMerge w:val="restart"/>
                  <w:tcBorders>
                    <w:top w:val="nil"/>
                    <w:left w:val="nil"/>
                    <w:bottom w:val="single" w:color="000000" w:sz="8" w:space="0"/>
                    <w:right w:val="single" w:color="000000" w:sz="8" w:space="0"/>
                  </w:tcBorders>
                  <w:shd w:val="clear" w:color="auto" w:fill="auto"/>
                  <w:vAlign w:val="center"/>
                </w:tcPr>
                <w:p w14:paraId="62D25D63">
                  <w:pPr>
                    <w:rPr>
                      <w:rFonts w:hint="eastAsia" w:ascii="宋体" w:hAnsi="宋体" w:eastAsia="宋体" w:cs="宋体"/>
                      <w:b/>
                      <w:bCs/>
                      <w:i w:val="0"/>
                      <w:iCs w:val="0"/>
                      <w:color w:val="auto"/>
                      <w:sz w:val="18"/>
                      <w:szCs w:val="18"/>
                      <w:u w:val="none"/>
                    </w:rPr>
                  </w:pPr>
                </w:p>
              </w:tc>
              <w:tc>
                <w:tcPr>
                  <w:tcW w:w="538" w:type="pct"/>
                  <w:vMerge w:val="restart"/>
                  <w:tcBorders>
                    <w:top w:val="nil"/>
                    <w:left w:val="nil"/>
                    <w:bottom w:val="single" w:color="000000" w:sz="8" w:space="0"/>
                    <w:right w:val="single" w:color="000000" w:sz="8" w:space="0"/>
                  </w:tcBorders>
                  <w:shd w:val="clear" w:color="auto" w:fill="auto"/>
                  <w:vAlign w:val="center"/>
                </w:tcPr>
                <w:p w14:paraId="4860D89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kern w:val="0"/>
                      <w:sz w:val="18"/>
                      <w:szCs w:val="18"/>
                      <w:u w:val="none"/>
                      <w:lang w:val="en-US" w:eastAsia="zh-CN" w:bidi="ar"/>
                    </w:rPr>
                    <w:t>6/6/6</w:t>
                  </w:r>
                </w:p>
              </w:tc>
              <w:tc>
                <w:tcPr>
                  <w:tcW w:w="345" w:type="pct"/>
                  <w:vMerge w:val="restart"/>
                  <w:tcBorders>
                    <w:top w:val="nil"/>
                    <w:left w:val="nil"/>
                    <w:bottom w:val="single" w:color="000000" w:sz="8" w:space="0"/>
                    <w:right w:val="single" w:color="000000" w:sz="8" w:space="0"/>
                  </w:tcBorders>
                  <w:shd w:val="clear" w:color="auto" w:fill="auto"/>
                  <w:vAlign w:val="center"/>
                </w:tcPr>
                <w:p w14:paraId="104DE51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r>
            <w:tr w14:paraId="39F2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42" w:type="pct"/>
                  <w:vMerge w:val="continue"/>
                  <w:tcBorders>
                    <w:top w:val="nil"/>
                    <w:left w:val="single" w:color="000000" w:sz="8" w:space="0"/>
                    <w:bottom w:val="single" w:color="000000" w:sz="8" w:space="0"/>
                    <w:right w:val="single" w:color="000000" w:sz="8" w:space="0"/>
                  </w:tcBorders>
                  <w:shd w:val="clear" w:color="auto" w:fill="auto"/>
                  <w:vAlign w:val="top"/>
                </w:tcPr>
                <w:p w14:paraId="119A0431">
                  <w:pPr>
                    <w:jc w:val="both"/>
                    <w:rPr>
                      <w:rFonts w:hint="eastAsia" w:ascii="宋体" w:hAnsi="宋体" w:eastAsia="宋体" w:cs="宋体"/>
                      <w:b/>
                      <w:bCs/>
                      <w:i w:val="0"/>
                      <w:iCs w:val="0"/>
                      <w:color w:val="auto"/>
                      <w:sz w:val="18"/>
                      <w:szCs w:val="18"/>
                      <w:u w:val="none"/>
                    </w:rPr>
                  </w:pPr>
                </w:p>
              </w:tc>
              <w:tc>
                <w:tcPr>
                  <w:tcW w:w="378" w:type="pct"/>
                  <w:vMerge w:val="continue"/>
                  <w:tcBorders>
                    <w:top w:val="nil"/>
                    <w:left w:val="nil"/>
                    <w:bottom w:val="single" w:color="000000" w:sz="8" w:space="0"/>
                    <w:right w:val="single" w:color="000000" w:sz="8" w:space="0"/>
                  </w:tcBorders>
                  <w:shd w:val="clear" w:color="auto" w:fill="auto"/>
                  <w:vAlign w:val="center"/>
                </w:tcPr>
                <w:p w14:paraId="124A3B4F">
                  <w:pPr>
                    <w:jc w:val="center"/>
                    <w:rPr>
                      <w:rFonts w:hint="eastAsia" w:ascii="宋体" w:hAnsi="宋体" w:eastAsia="宋体" w:cs="宋体"/>
                      <w:b/>
                      <w:bCs/>
                      <w:i w:val="0"/>
                      <w:iCs w:val="0"/>
                      <w:color w:val="auto"/>
                      <w:sz w:val="18"/>
                      <w:szCs w:val="18"/>
                      <w:u w:val="none"/>
                    </w:rPr>
                  </w:pPr>
                </w:p>
              </w:tc>
              <w:tc>
                <w:tcPr>
                  <w:tcW w:w="1268" w:type="pct"/>
                  <w:tcBorders>
                    <w:top w:val="nil"/>
                    <w:left w:val="nil"/>
                    <w:bottom w:val="single" w:color="000000" w:sz="8" w:space="0"/>
                    <w:right w:val="single" w:color="000000" w:sz="8" w:space="0"/>
                  </w:tcBorders>
                  <w:shd w:val="clear" w:color="auto" w:fill="auto"/>
                  <w:vAlign w:val="center"/>
                </w:tcPr>
                <w:p w14:paraId="3CF6158F">
                  <w:pPr>
                    <w:jc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sz w:val="18"/>
                      <w:szCs w:val="18"/>
                      <w:u w:val="none"/>
                    </w:rPr>
                    <w:t>MRGL-B-1600-1.0</w:t>
                  </w:r>
                </w:p>
              </w:tc>
              <w:tc>
                <w:tcPr>
                  <w:tcW w:w="680" w:type="pct"/>
                  <w:vMerge w:val="continue"/>
                  <w:tcBorders>
                    <w:top w:val="nil"/>
                    <w:left w:val="nil"/>
                    <w:bottom w:val="single" w:color="000000" w:sz="8" w:space="0"/>
                    <w:right w:val="single" w:color="000000" w:sz="8" w:space="0"/>
                  </w:tcBorders>
                  <w:shd w:val="clear" w:color="auto" w:fill="auto"/>
                  <w:vAlign w:val="center"/>
                </w:tcPr>
                <w:p w14:paraId="31D750F1">
                  <w:pPr>
                    <w:jc w:val="center"/>
                    <w:rPr>
                      <w:rFonts w:hint="eastAsia" w:ascii="宋体" w:hAnsi="宋体" w:eastAsia="宋体" w:cs="宋体"/>
                      <w:b/>
                      <w:bCs/>
                      <w:i w:val="0"/>
                      <w:iCs w:val="0"/>
                      <w:color w:val="auto"/>
                      <w:sz w:val="18"/>
                      <w:szCs w:val="18"/>
                      <w:u w:val="none"/>
                    </w:rPr>
                  </w:pPr>
                </w:p>
              </w:tc>
              <w:tc>
                <w:tcPr>
                  <w:tcW w:w="764" w:type="pct"/>
                  <w:vMerge w:val="continue"/>
                  <w:tcBorders>
                    <w:top w:val="nil"/>
                    <w:left w:val="nil"/>
                    <w:bottom w:val="single" w:color="000000" w:sz="8" w:space="0"/>
                    <w:right w:val="single" w:color="000000" w:sz="8" w:space="0"/>
                  </w:tcBorders>
                  <w:shd w:val="clear" w:color="auto" w:fill="auto"/>
                  <w:vAlign w:val="top"/>
                </w:tcPr>
                <w:p w14:paraId="7AF9B937">
                  <w:pPr>
                    <w:jc w:val="both"/>
                    <w:rPr>
                      <w:rFonts w:hint="eastAsia" w:ascii="宋体" w:hAnsi="宋体" w:eastAsia="宋体" w:cs="宋体"/>
                      <w:b/>
                      <w:bCs/>
                      <w:i w:val="0"/>
                      <w:iCs w:val="0"/>
                      <w:color w:val="auto"/>
                      <w:sz w:val="18"/>
                      <w:szCs w:val="18"/>
                      <w:u w:val="none"/>
                    </w:rPr>
                  </w:pPr>
                </w:p>
              </w:tc>
              <w:tc>
                <w:tcPr>
                  <w:tcW w:w="680" w:type="pct"/>
                  <w:vMerge w:val="continue"/>
                  <w:tcBorders>
                    <w:top w:val="nil"/>
                    <w:left w:val="nil"/>
                    <w:bottom w:val="single" w:color="000000" w:sz="8" w:space="0"/>
                    <w:right w:val="single" w:color="000000" w:sz="8" w:space="0"/>
                  </w:tcBorders>
                  <w:shd w:val="clear" w:color="auto" w:fill="auto"/>
                  <w:vAlign w:val="center"/>
                </w:tcPr>
                <w:p w14:paraId="794FCC83">
                  <w:pPr>
                    <w:jc w:val="center"/>
                    <w:rPr>
                      <w:rFonts w:hint="eastAsia" w:ascii="宋体" w:hAnsi="宋体" w:eastAsia="宋体" w:cs="宋体"/>
                      <w:b/>
                      <w:bCs/>
                      <w:i w:val="0"/>
                      <w:iCs w:val="0"/>
                      <w:color w:val="auto"/>
                      <w:sz w:val="18"/>
                      <w:szCs w:val="18"/>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3BB6F2C4">
                  <w:pPr>
                    <w:jc w:val="center"/>
                    <w:rPr>
                      <w:rFonts w:hint="eastAsia" w:ascii="宋体" w:hAnsi="宋体" w:eastAsia="宋体" w:cs="宋体"/>
                      <w:b/>
                      <w:bCs/>
                      <w:i w:val="0"/>
                      <w:iCs w:val="0"/>
                      <w:color w:val="auto"/>
                      <w:sz w:val="18"/>
                      <w:szCs w:val="18"/>
                      <w:u w:val="none"/>
                    </w:rPr>
                  </w:pPr>
                </w:p>
              </w:tc>
              <w:tc>
                <w:tcPr>
                  <w:tcW w:w="345" w:type="pct"/>
                  <w:vMerge w:val="continue"/>
                  <w:tcBorders>
                    <w:top w:val="nil"/>
                    <w:left w:val="nil"/>
                    <w:bottom w:val="single" w:color="000000" w:sz="8" w:space="0"/>
                    <w:right w:val="single" w:color="000000" w:sz="8" w:space="0"/>
                  </w:tcBorders>
                  <w:shd w:val="clear" w:color="auto" w:fill="auto"/>
                  <w:vAlign w:val="center"/>
                </w:tcPr>
                <w:p w14:paraId="307A7B8F">
                  <w:pPr>
                    <w:jc w:val="center"/>
                    <w:rPr>
                      <w:rFonts w:hint="eastAsia" w:ascii="宋体" w:hAnsi="宋体" w:eastAsia="宋体" w:cs="宋体"/>
                      <w:b/>
                      <w:bCs/>
                      <w:i w:val="0"/>
                      <w:iCs w:val="0"/>
                      <w:color w:val="auto"/>
                      <w:sz w:val="18"/>
                      <w:szCs w:val="18"/>
                      <w:u w:val="none"/>
                    </w:rPr>
                  </w:pPr>
                </w:p>
              </w:tc>
            </w:tr>
            <w:tr w14:paraId="41E1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000" w:type="pct"/>
                  <w:gridSpan w:val="8"/>
                  <w:tcBorders>
                    <w:top w:val="nil"/>
                    <w:left w:val="nil"/>
                    <w:bottom w:val="nil"/>
                    <w:right w:val="nil"/>
                  </w:tcBorders>
                  <w:shd w:val="clear" w:color="auto" w:fill="auto"/>
                  <w:vAlign w:val="center"/>
                </w:tcPr>
                <w:p w14:paraId="5E2534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注：1~2号为为门诊楼大厅电梯，3号门诊楼行政电梯，4号为住院楼消防电梯，5~6号为住院楼大厅电梯，7、8号住院楼污物电梯，9号为食堂杂物电梯，10号为孙家坝院区大厅电梯。</w:t>
                  </w:r>
                </w:p>
              </w:tc>
            </w:tr>
          </w:tbl>
          <w:p w14:paraId="69B92F18">
            <w:pPr>
              <w:numPr>
                <w:ilvl w:val="0"/>
                <w:numId w:val="0"/>
              </w:numPr>
              <w:rPr>
                <w:rFonts w:hint="eastAsia" w:asciiTheme="majorEastAsia" w:hAnsiTheme="majorEastAsia" w:eastAsiaTheme="majorEastAsia" w:cstheme="majorEastAsia"/>
                <w:sz w:val="24"/>
                <w:szCs w:val="24"/>
                <w:lang w:val="en-US" w:eastAsia="zh-CN"/>
              </w:rPr>
            </w:pPr>
          </w:p>
          <w:p w14:paraId="7906E0AF">
            <w:pPr>
              <w:pStyle w:val="13"/>
              <w:widowControl/>
              <w:wordWrap w:val="0"/>
              <w:spacing w:beforeAutospacing="0" w:afterAutospacing="0" w:line="320" w:lineRule="exact"/>
              <w:rPr>
                <w:rFonts w:ascii="宋体" w:hAnsi="宋体" w:eastAsia="宋体" w:cs="宋体"/>
                <w:color w:val="auto"/>
                <w:sz w:val="21"/>
                <w:szCs w:val="21"/>
              </w:rPr>
            </w:pPr>
            <w:r>
              <w:rPr>
                <w:rFonts w:hint="eastAsia" w:ascii="宋体" w:hAnsi="宋体" w:eastAsia="宋体" w:cs="宋体"/>
                <w:b/>
                <w:sz w:val="32"/>
                <w:szCs w:val="32"/>
                <w:lang w:val="en-US" w:eastAsia="zh-CN"/>
              </w:rPr>
              <w:t>★二</w:t>
            </w:r>
            <w:r>
              <w:rPr>
                <w:rFonts w:hint="eastAsia" w:cs="宋体"/>
                <w:b/>
                <w:bCs/>
                <w:color w:val="auto"/>
                <w:sz w:val="24"/>
                <w:szCs w:val="24"/>
                <w:lang w:eastAsia="zh-CN"/>
              </w:rPr>
              <w:t>、</w:t>
            </w:r>
            <w:r>
              <w:rPr>
                <w:rFonts w:hint="eastAsia" w:ascii="宋体" w:hAnsi="宋体" w:eastAsia="宋体" w:cs="宋体"/>
                <w:b/>
                <w:bCs/>
                <w:color w:val="auto"/>
                <w:sz w:val="24"/>
                <w:szCs w:val="24"/>
              </w:rPr>
              <w:t>基本要求：</w:t>
            </w:r>
            <w:r>
              <w:rPr>
                <w:rFonts w:hint="eastAsia" w:ascii="宋体" w:hAnsi="宋体" w:eastAsia="宋体" w:cs="宋体"/>
                <w:color w:val="auto"/>
                <w:sz w:val="21"/>
                <w:szCs w:val="21"/>
              </w:rPr>
              <w:br w:type="textWrapping"/>
            </w:r>
            <w:r>
              <w:rPr>
                <w:rFonts w:hint="eastAsia" w:ascii="宋体" w:hAnsi="宋体" w:eastAsia="宋体" w:cs="宋体"/>
                <w:b/>
                <w:sz w:val="20"/>
                <w:szCs w:val="20"/>
                <w:lang w:val="en-US" w:eastAsia="zh-CN"/>
              </w:rPr>
              <w:t xml:space="preserve">    </w:t>
            </w:r>
            <w:r>
              <w:rPr>
                <w:rFonts w:hint="eastAsia" w:ascii="宋体" w:hAnsi="宋体" w:eastAsia="宋体" w:cs="宋体"/>
                <w:color w:val="auto"/>
                <w:sz w:val="21"/>
                <w:szCs w:val="21"/>
              </w:rPr>
              <w:t>1.保证所有机组的正常运行。</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2.配合落实电梯年检及资料上报，确保投标人顺利通过年检。（检测费用由</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人承担）</w:t>
            </w:r>
            <w:r>
              <w:rPr>
                <w:rFonts w:hint="eastAsia" w:ascii="宋体" w:hAnsi="宋体" w:eastAsia="宋体" w:cs="宋体"/>
                <w:color w:val="auto"/>
                <w:sz w:val="21"/>
                <w:szCs w:val="21"/>
              </w:rPr>
              <w:br w:type="textWrapping"/>
            </w:r>
            <w:r>
              <w:rPr>
                <w:rFonts w:hint="eastAsia" w:cs="宋体"/>
                <w:color w:val="auto"/>
                <w:sz w:val="21"/>
                <w:szCs w:val="21"/>
                <w:lang w:val="en-US" w:eastAsia="zh-CN"/>
              </w:rPr>
              <w:t xml:space="preserve">    </w:t>
            </w:r>
            <w:r>
              <w:rPr>
                <w:rFonts w:hint="eastAsia" w:ascii="宋体" w:hAnsi="宋体" w:eastAsia="宋体" w:cs="宋体"/>
                <w:color w:val="auto"/>
                <w:sz w:val="21"/>
                <w:szCs w:val="21"/>
              </w:rPr>
              <w:t>3.投标人每月对机组进行两次检查保养，保养符合行业安全运行标准。保养完毕后，将保养单交</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人有关部门签字认可；保养任务的完成与否，以保养单为准。</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4.投标人自行配备工作所需要的工具及设备，保养时设置现场安全警示标志。</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5.投标人免费提供保养所需的润滑油、润滑脂和清洁材料，需要更换单价为300.00元以内的零配件免费提供。</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6.电梯发生故障时，投标人必须在40分钟内赶到现场，正常情况下8小时内排查出原因，24内解决问题，（维修零部件采购时，如</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人自行采购时间不计入维保考核时限，如委托投标人采购时原则上3天内完成，特殊情况告知人顺延时间）。</w:t>
            </w:r>
          </w:p>
          <w:p w14:paraId="7EAEE8EA">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7.如发生困人事件投标人必须在接到报修电话30分钟内赶赴现场解决问题；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8.投标人认真履行服务义务，发生以下情况，</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人以书面形式告知考核扣款事项并经投标人认可，扣款在服务费用扣除：</w:t>
            </w:r>
          </w:p>
          <w:p w14:paraId="291F83DD">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1）未在规定时间内开展维保或以修代保现象，扣500元/台.次，维保当天未在轿厢内维保卡上签字，出现时间超前或滞后，扣200元元/台.次。</w:t>
            </w:r>
          </w:p>
          <w:p w14:paraId="5766C36A">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2）维保结束3日内交维保单于使用单位确认；超出时间每次扣200元。</w:t>
            </w:r>
          </w:p>
          <w:p w14:paraId="74FF11E6">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 困人救援30分钟内未到达。扣每次500元。</w:t>
            </w:r>
          </w:p>
          <w:p w14:paraId="3351C1FC">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4）维保人员不服从医院管理，经沟通仍不整改。每次扣200元。</w:t>
            </w:r>
          </w:p>
          <w:p w14:paraId="128E39EE">
            <w:pPr>
              <w:pStyle w:val="13"/>
              <w:widowControl/>
              <w:wordWrap w:val="0"/>
              <w:spacing w:beforeAutospacing="0" w:afterAutospacing="0" w:line="320" w:lineRule="exact"/>
              <w:ind w:firstLine="420" w:firstLineChars="200"/>
              <w:rPr>
                <w:rFonts w:ascii="宋体" w:hAnsi="宋体" w:eastAsia="宋体" w:cs="宋体"/>
                <w:b/>
                <w:bCs/>
                <w:color w:val="auto"/>
                <w:sz w:val="28"/>
                <w:szCs w:val="28"/>
              </w:rPr>
            </w:pPr>
            <w:r>
              <w:rPr>
                <w:rFonts w:hint="eastAsia" w:ascii="宋体" w:hAnsi="宋体" w:eastAsia="宋体" w:cs="宋体"/>
                <w:color w:val="auto"/>
                <w:sz w:val="21"/>
                <w:szCs w:val="21"/>
              </w:rPr>
              <w:t>5）合同内其他情况未履行未落实，视情况扣200-1000元。</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9.投标人提供24小时报修服务，任何时间不再加收其他费用。</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10.</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人有重大活动时，投标人需派专门的维修技术人员到达现场，免费提供全程监护服务。</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11.投标人根据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人实际需要提供电梯操作的系统培训。</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12.投标人承担所维保电梯发生的非人为因素引起的一切事故责任。</w:t>
            </w:r>
          </w:p>
          <w:p w14:paraId="0F5DAA27">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13.因投标人工作不到位，造成电梯复检产生费用或受到行政经济处罚的由投标人承担。</w:t>
            </w:r>
          </w:p>
          <w:p w14:paraId="12D0D760">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14.投标人在服务期内对所有电梯进行一次彻底清理清洁，规范电器线路布线。</w:t>
            </w:r>
          </w:p>
          <w:p w14:paraId="04645F2F">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15.因投标人维保服务不到位，多次沟通无整改，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人可以单方面终止合同，已服务的费用按合同总费用÷服务月计算支付。</w:t>
            </w:r>
          </w:p>
          <w:p w14:paraId="1459BA94">
            <w:pPr>
              <w:pStyle w:val="13"/>
              <w:widowControl/>
              <w:wordWrap w:val="0"/>
              <w:spacing w:beforeAutospacing="0" w:afterAutospacing="0" w:line="320" w:lineRule="exact"/>
              <w:rPr>
                <w:rFonts w:hint="eastAsia" w:ascii="宋体" w:hAnsi="宋体" w:eastAsia="宋体" w:cs="宋体"/>
                <w:b/>
                <w:bCs/>
                <w:color w:val="auto"/>
                <w:sz w:val="24"/>
                <w:szCs w:val="24"/>
              </w:rPr>
            </w:pPr>
            <w:r>
              <w:rPr>
                <w:rFonts w:hint="eastAsia" w:ascii="宋体" w:hAnsi="宋体" w:eastAsia="宋体" w:cs="宋体"/>
                <w:b/>
                <w:sz w:val="32"/>
                <w:szCs w:val="32"/>
                <w:lang w:val="en-US" w:eastAsia="zh-CN"/>
              </w:rPr>
              <w:t>★三</w:t>
            </w:r>
            <w:r>
              <w:rPr>
                <w:rFonts w:hint="eastAsia" w:cs="宋体"/>
                <w:b/>
                <w:bCs/>
                <w:color w:val="auto"/>
                <w:sz w:val="24"/>
                <w:szCs w:val="24"/>
                <w:lang w:eastAsia="zh-CN"/>
              </w:rPr>
              <w:t>、</w:t>
            </w:r>
            <w:r>
              <w:rPr>
                <w:rFonts w:hint="eastAsia" w:ascii="宋体" w:hAnsi="宋体" w:eastAsia="宋体" w:cs="宋体"/>
                <w:b/>
                <w:bCs/>
                <w:color w:val="auto"/>
                <w:sz w:val="24"/>
                <w:szCs w:val="24"/>
              </w:rPr>
              <w:t>维修保养服务工作内容：</w:t>
            </w:r>
          </w:p>
          <w:p w14:paraId="49CBB8EB">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1.维修保养服务需符合《乘客电梯、载货电梯日常维护保养项目及要求》或其他规范。</w:t>
            </w:r>
          </w:p>
          <w:p w14:paraId="28046272">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2.对电梯实行规范化维修、保养，及时排除突发故障，对全部电梯需提供运行服务</w:t>
            </w:r>
            <w:r>
              <w:rPr>
                <w:rFonts w:hint="eastAsia" w:cs="宋体"/>
                <w:color w:val="auto"/>
                <w:sz w:val="21"/>
                <w:szCs w:val="21"/>
                <w:lang w:eastAsia="zh-CN"/>
              </w:rPr>
              <w:t>，并</w:t>
            </w:r>
            <w:r>
              <w:rPr>
                <w:rFonts w:hint="eastAsia" w:ascii="宋体" w:hAnsi="宋体" w:eastAsia="宋体" w:cs="宋体"/>
                <w:color w:val="auto"/>
                <w:sz w:val="21"/>
                <w:szCs w:val="21"/>
              </w:rPr>
              <w:t>登记工作日志</w:t>
            </w:r>
            <w:r>
              <w:rPr>
                <w:rFonts w:hint="eastAsia" w:cs="宋体"/>
                <w:color w:val="auto"/>
                <w:sz w:val="21"/>
                <w:szCs w:val="21"/>
                <w:lang w:eastAsia="zh-CN"/>
              </w:rPr>
              <w:t>；</w:t>
            </w:r>
            <w:r>
              <w:rPr>
                <w:rFonts w:hint="eastAsia" w:ascii="宋体" w:hAnsi="宋体" w:eastAsia="宋体" w:cs="宋体"/>
                <w:color w:val="auto"/>
                <w:sz w:val="21"/>
                <w:szCs w:val="21"/>
              </w:rPr>
              <w:t>负责办理电梯年检的相关约检、检验、取证工作，其中的定期检验费用由</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人承担。</w:t>
            </w:r>
          </w:p>
          <w:p w14:paraId="633825EA">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3.对电梯实行全年365天、全天24小时监管，发现问题及时处理，接到故障通知，40分钟内到达现场进行处理，若电梯内有人员被困，必须保证在30分钟内将人员救出。</w:t>
            </w:r>
          </w:p>
          <w:p w14:paraId="14571C35">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4.对每部电梯的保养周期为15天/次，而且保养内容与《日常维护保养记录》的要求相符。</w:t>
            </w:r>
          </w:p>
          <w:p w14:paraId="792EC819">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5.备有足够配件，正常情况下8小时内排查出原因，24内解决问题。</w:t>
            </w:r>
          </w:p>
          <w:p w14:paraId="6BC37210">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6.需要更换单价300元以上零部件由双方协商。（如损坏属于正常损耗的由</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人负责，属于保养不当的由投标人负责）。</w:t>
            </w:r>
          </w:p>
          <w:p w14:paraId="65E2F960">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cs="宋体"/>
                <w:color w:val="auto"/>
                <w:sz w:val="21"/>
                <w:szCs w:val="21"/>
                <w:lang w:val="en-US" w:eastAsia="zh-CN"/>
              </w:rPr>
              <w:t>7</w:t>
            </w:r>
            <w:r>
              <w:rPr>
                <w:rFonts w:hint="eastAsia" w:ascii="宋体" w:hAnsi="宋体" w:eastAsia="宋体" w:cs="宋体"/>
                <w:color w:val="auto"/>
                <w:sz w:val="21"/>
                <w:szCs w:val="21"/>
              </w:rPr>
              <w:t>.每月医院对维保单位的工作情况进行全面检查，检查结果直接与维保费用关联，检查标准详见附表一。</w:t>
            </w:r>
          </w:p>
          <w:p w14:paraId="46FB5AFC">
            <w:pPr>
              <w:pStyle w:val="13"/>
              <w:widowControl/>
              <w:wordWrap w:val="0"/>
              <w:spacing w:beforeAutospacing="0" w:afterAutospacing="0" w:line="320" w:lineRule="exact"/>
              <w:ind w:firstLine="420" w:firstLineChars="200"/>
              <w:rPr>
                <w:rFonts w:ascii="宋体" w:hAnsi="宋体" w:eastAsia="宋体" w:cs="宋体"/>
                <w:color w:val="auto"/>
                <w:sz w:val="21"/>
                <w:szCs w:val="21"/>
              </w:rPr>
            </w:pPr>
            <w:r>
              <w:rPr>
                <w:rFonts w:hint="eastAsia" w:cs="宋体"/>
                <w:color w:val="auto"/>
                <w:sz w:val="21"/>
                <w:szCs w:val="21"/>
                <w:lang w:val="en-US" w:eastAsia="zh-CN"/>
              </w:rPr>
              <w:t>8</w:t>
            </w:r>
            <w:r>
              <w:rPr>
                <w:rFonts w:hint="eastAsia" w:ascii="宋体" w:hAnsi="宋体" w:eastAsia="宋体" w:cs="宋体"/>
                <w:color w:val="auto"/>
                <w:sz w:val="21"/>
                <w:szCs w:val="21"/>
              </w:rPr>
              <w:t>.在每年支付维保费用时，通过</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人对维保单位进行月度检查结果和评估，扣除不合格项目的费用，并经过双方确认后方可支付。</w:t>
            </w:r>
          </w:p>
          <w:p w14:paraId="5241D131">
            <w:pPr>
              <w:widowControl/>
              <w:wordWrap w:val="0"/>
              <w:spacing w:line="500" w:lineRule="atLeast"/>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kern w:val="0"/>
                <w:sz w:val="24"/>
                <w:szCs w:val="24"/>
                <w:lang w:bidi="ar"/>
              </w:rPr>
              <w:t>附表一：</w:t>
            </w:r>
            <w:r>
              <w:rPr>
                <w:rFonts w:hint="eastAsia" w:asciiTheme="minorEastAsia" w:hAnsiTheme="minorEastAsia" w:eastAsiaTheme="minorEastAsia" w:cstheme="minorEastAsia"/>
                <w:b/>
                <w:color w:val="auto"/>
                <w:sz w:val="24"/>
                <w:szCs w:val="24"/>
              </w:rPr>
              <w:t>电梯维护保养项目及要求包括不限于以下内容</w:t>
            </w:r>
          </w:p>
          <w:tbl>
            <w:tblPr>
              <w:tblStyle w:val="16"/>
              <w:tblW w:w="4998"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14"/>
              <w:gridCol w:w="2027"/>
              <w:gridCol w:w="2738"/>
              <w:gridCol w:w="935"/>
            </w:tblGrid>
            <w:tr w14:paraId="756127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8" w:hRule="atLeast"/>
              </w:trPr>
              <w:tc>
                <w:tcPr>
                  <w:tcW w:w="41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1E7368">
                  <w:pPr>
                    <w:widowControl/>
                    <w:wordWrap w:val="0"/>
                    <w:spacing w:beforeAutospacing="1" w:afterAutospacing="1"/>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序号</w:t>
                  </w:r>
                </w:p>
              </w:tc>
              <w:tc>
                <w:tcPr>
                  <w:tcW w:w="1631" w:type="pct"/>
                  <w:tcBorders>
                    <w:top w:val="single" w:color="auto" w:sz="8" w:space="0"/>
                    <w:left w:val="nil"/>
                    <w:bottom w:val="single" w:color="auto" w:sz="8" w:space="0"/>
                    <w:right w:val="single" w:color="auto" w:sz="8" w:space="0"/>
                  </w:tcBorders>
                  <w:noWrap w:val="0"/>
                  <w:tcMar>
                    <w:left w:w="108" w:type="dxa"/>
                    <w:right w:w="108" w:type="dxa"/>
                  </w:tcMar>
                  <w:vAlign w:val="center"/>
                </w:tcPr>
                <w:p w14:paraId="6F131BDF">
                  <w:pPr>
                    <w:widowControl/>
                    <w:wordWrap w:val="0"/>
                    <w:spacing w:beforeAutospacing="1" w:afterAutospacing="1"/>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保  养 项 目</w:t>
                  </w:r>
                </w:p>
              </w:tc>
              <w:tc>
                <w:tcPr>
                  <w:tcW w:w="2203" w:type="pct"/>
                  <w:tcBorders>
                    <w:top w:val="single" w:color="auto" w:sz="8" w:space="0"/>
                    <w:left w:val="nil"/>
                    <w:bottom w:val="single" w:color="auto" w:sz="8" w:space="0"/>
                    <w:right w:val="single" w:color="auto" w:sz="8" w:space="0"/>
                  </w:tcBorders>
                  <w:noWrap w:val="0"/>
                  <w:tcMar>
                    <w:left w:w="108" w:type="dxa"/>
                    <w:right w:w="108" w:type="dxa"/>
                  </w:tcMar>
                  <w:vAlign w:val="center"/>
                </w:tcPr>
                <w:p w14:paraId="1589BBBB">
                  <w:pPr>
                    <w:widowControl/>
                    <w:wordWrap w:val="0"/>
                    <w:spacing w:beforeAutospacing="1" w:afterAutospacing="1"/>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相 关 项 目</w:t>
                  </w:r>
                </w:p>
              </w:tc>
              <w:tc>
                <w:tcPr>
                  <w:tcW w:w="750" w:type="pct"/>
                  <w:tcBorders>
                    <w:top w:val="single" w:color="auto" w:sz="8" w:space="0"/>
                    <w:left w:val="nil"/>
                    <w:bottom w:val="single" w:color="auto" w:sz="8" w:space="0"/>
                    <w:right w:val="single" w:color="auto" w:sz="8" w:space="0"/>
                  </w:tcBorders>
                  <w:noWrap w:val="0"/>
                  <w:tcMar>
                    <w:left w:w="108" w:type="dxa"/>
                    <w:right w:w="108" w:type="dxa"/>
                  </w:tcMar>
                  <w:vAlign w:val="center"/>
                </w:tcPr>
                <w:p w14:paraId="41FFB4A5">
                  <w:pPr>
                    <w:widowControl/>
                    <w:wordWrap w:val="0"/>
                    <w:spacing w:beforeAutospacing="1" w:afterAutospacing="1"/>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保养周期</w:t>
                  </w:r>
                </w:p>
              </w:tc>
            </w:tr>
            <w:tr w14:paraId="72375F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1" w:hRule="atLeast"/>
              </w:trPr>
              <w:tc>
                <w:tcPr>
                  <w:tcW w:w="5000" w:type="pct"/>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6CC22743">
                  <w:pPr>
                    <w:widowControl/>
                    <w:wordWrap w:val="0"/>
                    <w:spacing w:beforeAutospacing="1" w:afterAutospacing="1"/>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机  房  部  分</w:t>
                  </w:r>
                </w:p>
              </w:tc>
            </w:tr>
            <w:tr w14:paraId="054063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2F1B7FD8">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1</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528FC9EB">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清洁机房环境并检查</w:t>
                  </w:r>
                  <w:r>
                    <w:rPr>
                      <w:rFonts w:hint="eastAsia" w:asciiTheme="minorEastAsia" w:hAnsiTheme="minorEastAsia" w:eastAsiaTheme="minorEastAsia" w:cstheme="minorEastAsia"/>
                      <w:color w:val="auto"/>
                      <w:spacing w:val="40"/>
                      <w:kern w:val="0"/>
                      <w:sz w:val="18"/>
                      <w:szCs w:val="18"/>
                      <w:lang w:bidi="ar"/>
                    </w:rPr>
                    <w:t>门窗照明等</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4F202387">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清洁机房地面、曳引机、限速器卫生，保养检查门窗完好，照明、防雨、通风良好。</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13134925">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46DD3A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176D74D8">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2</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073CF1F9">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曳引机油量、齿轮齿面状况</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05766A1D">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检查曳引机减速箱、电动机油位、温升是否正常，保证其符合要求。</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6C44A2C9">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一季度一次</w:t>
                  </w:r>
                </w:p>
              </w:tc>
            </w:tr>
            <w:tr w14:paraId="41A97F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111602AB">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3</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04CF0427">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曳引机轮、导向轮、电动机转轴部检查、润滑</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4A297B33">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检查曳引机轮、导向轮应无异常磨损，润滑良好，电动机无异常磨损及异常火花。</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2D920202">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一季度一次</w:t>
                  </w:r>
                </w:p>
              </w:tc>
            </w:tr>
            <w:tr w14:paraId="2FBEDA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0D17FC37">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4</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7A4B4F12">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制动器</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5BA6B6FF">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清洁电磁抱闸，调整电磁抱闸弹簧，保证制动器工作灵敏可靠，检查刹车片应无异常磨损，检查制动器是否在持续通电下保持松开状态,间隙是否符合标准。</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079511F4">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半月一次</w:t>
                  </w:r>
                </w:p>
              </w:tc>
            </w:tr>
            <w:tr w14:paraId="547A75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20817988">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5</w:t>
                  </w:r>
                </w:p>
              </w:tc>
              <w:tc>
                <w:tcPr>
                  <w:tcW w:w="1631" w:type="pct"/>
                  <w:tcBorders>
                    <w:top w:val="nil"/>
                    <w:left w:val="nil"/>
                    <w:bottom w:val="single" w:color="auto" w:sz="8" w:space="0"/>
                    <w:right w:val="single" w:color="auto" w:sz="8" w:space="0"/>
                  </w:tcBorders>
                  <w:noWrap w:val="0"/>
                  <w:tcMar>
                    <w:left w:w="108" w:type="dxa"/>
                  </w:tcMar>
                  <w:vAlign w:val="center"/>
                </w:tcPr>
                <w:p w14:paraId="35BDFAAC">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编码器、限速器</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3690B935">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清除编码器积尘，防油污，接线是否牢固，检查限速器、涨紧轮轴承润滑油，限速器轮及涨紧轮绳槽及夹绳钳口应清洁及无异常磨损，电气开关正常。</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2366E6CB">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半年一次</w:t>
                  </w:r>
                </w:p>
              </w:tc>
            </w:tr>
            <w:tr w14:paraId="5C13E7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6B6E2816">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6</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7140EEC6">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检查控制柜电器元件</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4225B42D">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检查控制柜内各器元件，电路板清洁无异常，接触器或继电器触点有无锈斑、凹痕及严重燃弧痕迹，导电回路绝缘性能测试符合要求。</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013D9D0C">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11A1AD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185E9546">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7</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7DE46D4A">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检查曳引机编码器</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5A471D48">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通过观察，运行时有无异常声响，判断机械磨损情况及编码器是否损伤。</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20A63EA5">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半月一次</w:t>
                  </w:r>
                </w:p>
              </w:tc>
            </w:tr>
            <w:tr w14:paraId="456DB9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63EE70B7">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8</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7424130E">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紧固各主回路端子、电源端子及曳引机各部螺栓</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0069D870">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电源端子确保接触良好，螺栓牢靠，有无松动及锈蚀现象。</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45813123">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半年一次</w:t>
                  </w:r>
                </w:p>
              </w:tc>
            </w:tr>
            <w:tr w14:paraId="48774A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77314C00">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9</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7D53F326">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相序继电器、机房检修装置</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3E62077A">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相序继电器功能是否正常，检修装置信号指定是否正确。</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6E027F27">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一季度一次</w:t>
                  </w:r>
                </w:p>
              </w:tc>
            </w:tr>
            <w:tr w14:paraId="3AC1EE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5FEBB8C1">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10</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3A9E11CE">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曳引轮绳槽、层楼数据</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62F95449">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检查轮槽有无异常磨损，转动时有无异常声音及明显跳动，层载数据定时调整电脑数据功能。</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14A084DB">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一年一次</w:t>
                  </w:r>
                </w:p>
              </w:tc>
            </w:tr>
            <w:tr w14:paraId="10F6C4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52EE1A45">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11</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6E7E52F8">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手动紧急操作装置</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363F4EAD">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是否齐全、可靠，保障正常使用。</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5A13F53C">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半月一次</w:t>
                  </w:r>
                </w:p>
              </w:tc>
            </w:tr>
            <w:tr w14:paraId="567099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7" w:hRule="atLeast"/>
              </w:trPr>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198E6A78">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12</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1B777370">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减速箱</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1B571FDA">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油量适量，油质符合要求，连轴器无松动，除蜗杆伸出无渗漏。</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17503843">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一季度一次</w:t>
                  </w:r>
                </w:p>
              </w:tc>
            </w:tr>
            <w:tr w14:paraId="648F8B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1" w:hRule="atLeast"/>
              </w:trPr>
              <w:tc>
                <w:tcPr>
                  <w:tcW w:w="5000" w:type="pct"/>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19D4C7D8">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层  站  部  分</w:t>
                  </w:r>
                </w:p>
              </w:tc>
            </w:tr>
            <w:tr w14:paraId="0E0D71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005E1ECD">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1</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74BB291B">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地坎、层门滑块、钥匙</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29C0DB71">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检查地坎有无杂物，对层门滑块进行检查，检查三角钥匙是否灵活，使用门锁后自动复位。</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70BBDA20">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半年一次</w:t>
                  </w:r>
                </w:p>
              </w:tc>
            </w:tr>
            <w:tr w14:paraId="244B9C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0DF15488">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2</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0DA220F5">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召唤层显</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764B0A2C">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层楼指示正确、齐全，显视层数无损坏，声视信号正确。</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33325FC3">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36A8E0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1B56697C">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3</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41059BEB">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门刀与厅门轮</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5663CC47">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对啮合不良的厅轮对调整，门刀与层门地间隙5～10mm。</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21823AEB">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24B025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687D744E">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4</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73404394">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各轴承、各按钮及慢车运行检查</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15A87850">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门厅上轴承清洁加油，清洁按钮盒内垃圾，慢车运行电梯确保无碰撞。</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16C3C71A">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半年一次</w:t>
                  </w:r>
                </w:p>
              </w:tc>
            </w:tr>
            <w:tr w14:paraId="22D3D2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6F0C0350">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5</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47BC307A">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电器各接线部分检查</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17CD5C33">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确保层门内各电器部件接线牢固，安全保护性能正常。</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18511319">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一年一次</w:t>
                  </w:r>
                </w:p>
              </w:tc>
            </w:tr>
            <w:tr w14:paraId="22901B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9" w:hRule="atLeast"/>
              </w:trPr>
              <w:tc>
                <w:tcPr>
                  <w:tcW w:w="5000" w:type="pct"/>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4D114552">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轿  厢  部  分</w:t>
                  </w:r>
                </w:p>
              </w:tc>
            </w:tr>
            <w:tr w14:paraId="00A789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3C5B57E1">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1</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325F06BF">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清扫轿顶，检查轿顶</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7E7E88E7">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轿顶无垃圾、油污，无积尘，防护栏及各开关灵敏可靠。</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3FBAC506">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半月一次</w:t>
                  </w:r>
                </w:p>
              </w:tc>
            </w:tr>
            <w:tr w14:paraId="18D4A8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07653F22">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2</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5BFD10BB">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检查轿顶轮，钢绳头及其它各部件</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648AF3D8">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钢绳无断丝现象，绳头螺栓牢固，绳头二次保护有效，运动部件安全牢固，转动平稳无杂声，轴承无异常，润滑良好。</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0E9FFC54">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45794C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3C9D0E20">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3</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277E7B9A">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导靴、靴衬、油杯</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5DFCEFFC">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导靴间隙及靴衬磨损情况，油润情况，运动时无异常噪声，油杯油量充足，油号正确。</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610CFBB1">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半年一次</w:t>
                  </w:r>
                </w:p>
              </w:tc>
            </w:tr>
            <w:tr w14:paraId="5E6B4C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42900294">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4</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432A5E77">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限速器钢绳连接</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7B9D5942">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要求钢丝绳无断股、送股现象，悬挂装置绳头、弹簧、销子完好。</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3E38103C">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半年一次</w:t>
                  </w:r>
                </w:p>
              </w:tc>
            </w:tr>
            <w:tr w14:paraId="5AF13D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02B20631">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5</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1B223CDF">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门机装置及安全装置</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31D225E3">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传动带、限位开关位置正确，关门良好，安全装置动作灵敏可靠，检修开关、急停开关工作正常。</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64EC0D07">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6EC5EE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13F4A9A9">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6</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1B6F4EF3">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轿厢内操纵箱、电话、安全开关</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37649869">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照明、风扇、指示按钮有无损坏、对讲电话是否正常，照明是否完好。</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65BE81B4">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半月一次</w:t>
                  </w:r>
                </w:p>
              </w:tc>
            </w:tr>
            <w:tr w14:paraId="06B273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2" w:hRule="atLeast"/>
              </w:trPr>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62CAAC91">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7</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1338DF0B">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轿门</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110ED0D1">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轿门锁电器触点接触良好、可靠、清洁，开启和关闭是否正常，平层精度、传动钢丝绳、链条等是否符合标准</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2FB4EF19">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半月一次</w:t>
                  </w:r>
                </w:p>
              </w:tc>
            </w:tr>
            <w:tr w14:paraId="6CD158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9" w:hRule="atLeast"/>
              </w:trPr>
              <w:tc>
                <w:tcPr>
                  <w:tcW w:w="5000" w:type="pct"/>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2E173157">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井  道  部  分</w:t>
                  </w:r>
                </w:p>
              </w:tc>
            </w:tr>
            <w:tr w14:paraId="69F9DA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4535B6C1">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1</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37D35D0E">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井道照明</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646EF285">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确保井道内有充足的照明进行检修。</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45A43448">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半月一次</w:t>
                  </w:r>
                </w:p>
              </w:tc>
            </w:tr>
            <w:tr w14:paraId="132331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75866E5D">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2</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3A785636">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层门道轨、滑轮、连锁机构</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233C1563">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各层门装置清洁，保证部件工作正常，钢绳清洁张力在规定范围内，门机和电器连接安全可靠。</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2DA30B25">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2431F5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1731048B">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3</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5C661157">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对重装置、上下对重导靴</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1E5765C1">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确保对重装置上无异物，绳头和开口销位置正确及观察钢绳和轮子磨损情况。</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6B4C2260">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7A62C8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652A2E04">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4</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4B9E0CA6">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各安装螺栓及钢丝绳张紧力</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69C777C8">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检查井道内各种安装螺栓紧固牢靠，确保钢绳张力符合GB7588─2003要求。</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17F7FA7C">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561BB1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0BDF6418">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5</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333A7987">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平层感应器及感应板</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24206B1F">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确保隔磁板与感应器之间左右间隙均匀。</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1355E055">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6FBFE8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5000" w:type="pct"/>
                  <w:gridSpan w:val="4"/>
                  <w:tcBorders>
                    <w:top w:val="nil"/>
                    <w:left w:val="nil"/>
                    <w:bottom w:val="nil"/>
                    <w:right w:val="nil"/>
                  </w:tcBorders>
                  <w:noWrap w:val="0"/>
                  <w:tcMar>
                    <w:left w:w="108" w:type="dxa"/>
                    <w:right w:w="108" w:type="dxa"/>
                  </w:tcMar>
                  <w:vAlign w:val="center"/>
                </w:tcPr>
                <w:p w14:paraId="51D546F1">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 </w:t>
                  </w:r>
                </w:p>
              </w:tc>
            </w:tr>
            <w:tr w14:paraId="162E31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EE9B33">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6</w:t>
                  </w:r>
                </w:p>
              </w:tc>
              <w:tc>
                <w:tcPr>
                  <w:tcW w:w="1631" w:type="pct"/>
                  <w:tcBorders>
                    <w:top w:val="single" w:color="auto" w:sz="8" w:space="0"/>
                    <w:left w:val="nil"/>
                    <w:bottom w:val="single" w:color="auto" w:sz="8" w:space="0"/>
                    <w:right w:val="single" w:color="auto" w:sz="8" w:space="0"/>
                  </w:tcBorders>
                  <w:noWrap w:val="0"/>
                  <w:tcMar>
                    <w:left w:w="108" w:type="dxa"/>
                    <w:right w:w="108" w:type="dxa"/>
                  </w:tcMar>
                  <w:vAlign w:val="center"/>
                </w:tcPr>
                <w:p w14:paraId="7ED09667">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电缆及接线盒内接线端子</w:t>
                  </w:r>
                </w:p>
              </w:tc>
              <w:tc>
                <w:tcPr>
                  <w:tcW w:w="2203" w:type="pct"/>
                  <w:tcBorders>
                    <w:top w:val="single" w:color="auto" w:sz="8" w:space="0"/>
                    <w:left w:val="nil"/>
                    <w:bottom w:val="single" w:color="auto" w:sz="8" w:space="0"/>
                    <w:right w:val="single" w:color="auto" w:sz="8" w:space="0"/>
                  </w:tcBorders>
                  <w:noWrap w:val="0"/>
                  <w:tcMar>
                    <w:left w:w="108" w:type="dxa"/>
                    <w:right w:w="108" w:type="dxa"/>
                  </w:tcMar>
                  <w:vAlign w:val="center"/>
                </w:tcPr>
                <w:p w14:paraId="317C0F3D">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检查电缆无扭曲、刮破、绑扎牢固，无碰撞、悬挂装置固定牢靠。接线端子接地牢靠，电线表面无破损。</w:t>
                  </w:r>
                </w:p>
              </w:tc>
              <w:tc>
                <w:tcPr>
                  <w:tcW w:w="750" w:type="pct"/>
                  <w:tcBorders>
                    <w:top w:val="single" w:color="auto" w:sz="8" w:space="0"/>
                    <w:left w:val="nil"/>
                    <w:bottom w:val="single" w:color="auto" w:sz="8" w:space="0"/>
                    <w:right w:val="single" w:color="auto" w:sz="8" w:space="0"/>
                  </w:tcBorders>
                  <w:noWrap w:val="0"/>
                  <w:tcMar>
                    <w:left w:w="108" w:type="dxa"/>
                    <w:right w:w="108" w:type="dxa"/>
                  </w:tcMar>
                  <w:vAlign w:val="center"/>
                </w:tcPr>
                <w:p w14:paraId="2824B9E1">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一季度一次</w:t>
                  </w:r>
                </w:p>
              </w:tc>
            </w:tr>
            <w:tr w14:paraId="5AE9FB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34D4C85D">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7</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226CC048">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限位开关、安全钳装置与导轨间隙</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4D8DE58B">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限位开关灵敏可靠，标准符合国家GB7588─2003要求，安全钳装置和导轨间隙符合国家GB7588─2003要求。</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102729F8">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限位开关半年一次安全钳装置一年一次</w:t>
                  </w:r>
                </w:p>
              </w:tc>
            </w:tr>
            <w:tr w14:paraId="70BEBD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112CE925">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8</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16F65EAD">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导轨</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128E3DF6">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导轨工作表面清洁、润滑，连接牢固，非工作面无积灰，导轨垂直度符合国家GB7588─2003要求。</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7582CD62">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一年一次</w:t>
                  </w:r>
                </w:p>
              </w:tc>
            </w:tr>
            <w:tr w14:paraId="28DC8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1" w:hRule="atLeast"/>
              </w:trPr>
              <w:tc>
                <w:tcPr>
                  <w:tcW w:w="5000" w:type="pct"/>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1E9A8F39">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底  坑  部  分</w:t>
                  </w:r>
                </w:p>
              </w:tc>
            </w:tr>
            <w:tr w14:paraId="775C95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3C81AE72">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1</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0F0F4663">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渗水积水</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6D7DB6F4">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底坑无潮湿感、无杂物、无明显积灰。</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0D2348E7">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半月一次</w:t>
                  </w:r>
                </w:p>
              </w:tc>
            </w:tr>
            <w:tr w14:paraId="74191C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10149635">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2</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03F5A1F5">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各电器开关</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43565DCE">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固定良好，外观无破损，动作灵敏可靠，地坑照明、电源插座正常。</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5099D969">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08B9C4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7EB759EB">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3</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2449CC75">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缓冲器及缓冲距离</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429DFE43">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缓冲器油量油质符合要求，动作灵敏可靠，缓冲距离（弹簧200～350mm、液压150～400mm）。</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0C5128F6">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一月一次</w:t>
                  </w:r>
                </w:p>
              </w:tc>
            </w:tr>
            <w:tr w14:paraId="5B0227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41235900">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4</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5CE163DB">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补偿装置</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1E503544">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固定螺杆、螺簧无松动，安全可靠，补偿链磨损量符合要求。</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5FEDDA01">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半年一次</w:t>
                  </w:r>
                </w:p>
              </w:tc>
            </w:tr>
            <w:tr w14:paraId="08E640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1" w:hRule="atLeast"/>
              </w:trPr>
              <w:tc>
                <w:tcPr>
                  <w:tcW w:w="5000" w:type="pct"/>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66FDD915">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运  行  状  况</w:t>
                  </w:r>
                </w:p>
              </w:tc>
            </w:tr>
            <w:tr w14:paraId="2F1787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16D5517C">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1</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306E201B">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检查电梯运行过程是否有异响</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05A7C9BC">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检查对重、轿厢、补偿链、缓速装置等部件状态是否异常，发出异响。</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201DFE43">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半月一次</w:t>
                  </w:r>
                </w:p>
              </w:tc>
            </w:tr>
            <w:tr w14:paraId="34BADA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31773A4C">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2</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7C23DED7">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检查电梯平层是否符合平层准确度</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2CA93DAF">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要求电梯的平层精度达到国家GB7588─2003要求。</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265E619F">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半月一次</w:t>
                  </w:r>
                </w:p>
              </w:tc>
            </w:tr>
            <w:tr w14:paraId="62C608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6" w:hRule="atLeast"/>
              </w:trPr>
              <w:tc>
                <w:tcPr>
                  <w:tcW w:w="5000" w:type="pct"/>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0A3B310D">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功  能  检  查</w:t>
                  </w:r>
                </w:p>
              </w:tc>
            </w:tr>
            <w:tr w14:paraId="5485E6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0CF8FD97">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1</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412652C2">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应急停层装置</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25A35223">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对功能进行测试，确保装置工作正常。</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1CBA6024">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半月一次</w:t>
                  </w:r>
                </w:p>
              </w:tc>
            </w:tr>
            <w:tr w14:paraId="23A5F8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3ADA612F">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2</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32BD9BCA">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消防功能</w:t>
                  </w:r>
                </w:p>
              </w:tc>
              <w:tc>
                <w:tcPr>
                  <w:tcW w:w="2203" w:type="pct"/>
                  <w:tcBorders>
                    <w:top w:val="nil"/>
                    <w:left w:val="nil"/>
                    <w:bottom w:val="single" w:color="auto" w:sz="8" w:space="0"/>
                    <w:right w:val="single" w:color="auto" w:sz="8" w:space="0"/>
                  </w:tcBorders>
                  <w:noWrap w:val="0"/>
                  <w:tcMar>
                    <w:left w:w="108" w:type="dxa"/>
                    <w:right w:w="108" w:type="dxa"/>
                  </w:tcMar>
                  <w:vAlign w:val="center"/>
                </w:tcPr>
                <w:p w14:paraId="51059590">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测试消防应急功能是否正常，消防梯的消防功能是否正常。</w:t>
                  </w:r>
                </w:p>
              </w:tc>
              <w:tc>
                <w:tcPr>
                  <w:tcW w:w="750" w:type="pct"/>
                  <w:tcBorders>
                    <w:top w:val="nil"/>
                    <w:left w:val="nil"/>
                    <w:bottom w:val="single" w:color="auto" w:sz="8" w:space="0"/>
                    <w:right w:val="single" w:color="auto" w:sz="8" w:space="0"/>
                  </w:tcBorders>
                  <w:noWrap w:val="0"/>
                  <w:tcMar>
                    <w:left w:w="108" w:type="dxa"/>
                    <w:right w:w="108" w:type="dxa"/>
                  </w:tcMar>
                  <w:vAlign w:val="center"/>
                </w:tcPr>
                <w:p w14:paraId="07AF9984">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一季度一次</w:t>
                  </w:r>
                </w:p>
              </w:tc>
            </w:tr>
            <w:tr w14:paraId="319EA2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5" w:hRule="atLeast"/>
              </w:trPr>
              <w:tc>
                <w:tcPr>
                  <w:tcW w:w="5000" w:type="pct"/>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6191FA3C">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安  全  标  识  检  查</w:t>
                  </w:r>
                </w:p>
              </w:tc>
            </w:tr>
            <w:tr w14:paraId="26A6C6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7D1F313E">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1</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71B8FBA3">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机房范围所有安全标贴</w:t>
                  </w:r>
                </w:p>
              </w:tc>
              <w:tc>
                <w:tcPr>
                  <w:tcW w:w="2954" w:type="pct"/>
                  <w:gridSpan w:val="2"/>
                  <w:tcBorders>
                    <w:top w:val="nil"/>
                    <w:left w:val="nil"/>
                    <w:bottom w:val="single" w:color="auto" w:sz="8" w:space="0"/>
                    <w:right w:val="single" w:color="auto" w:sz="8" w:space="0"/>
                  </w:tcBorders>
                  <w:noWrap w:val="0"/>
                  <w:tcMar>
                    <w:left w:w="108" w:type="dxa"/>
                    <w:right w:w="108" w:type="dxa"/>
                  </w:tcMar>
                  <w:vAlign w:val="center"/>
                </w:tcPr>
                <w:p w14:paraId="61F52AE9">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确保机房内各种安全标贴齐全，线贴牢靠，字迹清晰。</w:t>
                  </w:r>
                </w:p>
              </w:tc>
            </w:tr>
            <w:tr w14:paraId="7FF3A5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4688C7E2">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2</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51E44940">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配电箱内必要标贴</w:t>
                  </w:r>
                </w:p>
              </w:tc>
              <w:tc>
                <w:tcPr>
                  <w:tcW w:w="2954" w:type="pct"/>
                  <w:gridSpan w:val="2"/>
                  <w:tcBorders>
                    <w:top w:val="nil"/>
                    <w:left w:val="nil"/>
                    <w:bottom w:val="single" w:color="auto" w:sz="8" w:space="0"/>
                    <w:right w:val="single" w:color="auto" w:sz="8" w:space="0"/>
                  </w:tcBorders>
                  <w:noWrap w:val="0"/>
                  <w:tcMar>
                    <w:left w:w="108" w:type="dxa"/>
                    <w:right w:w="108" w:type="dxa"/>
                  </w:tcMar>
                  <w:vAlign w:val="center"/>
                </w:tcPr>
                <w:p w14:paraId="39687548">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确保配电箱内各种标贴张贴牢靠，字迹清晰。</w:t>
                  </w:r>
                </w:p>
              </w:tc>
            </w:tr>
            <w:tr w14:paraId="0BDC69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8" w:space="0"/>
                    <w:right w:val="single" w:color="auto" w:sz="8" w:space="0"/>
                  </w:tcBorders>
                  <w:noWrap w:val="0"/>
                  <w:tcMar>
                    <w:left w:w="108" w:type="dxa"/>
                    <w:right w:w="108" w:type="dxa"/>
                  </w:tcMar>
                  <w:vAlign w:val="center"/>
                </w:tcPr>
                <w:p w14:paraId="7C475088">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3</w:t>
                  </w:r>
                </w:p>
              </w:tc>
              <w:tc>
                <w:tcPr>
                  <w:tcW w:w="1631" w:type="pct"/>
                  <w:tcBorders>
                    <w:top w:val="nil"/>
                    <w:left w:val="nil"/>
                    <w:bottom w:val="single" w:color="auto" w:sz="8" w:space="0"/>
                    <w:right w:val="single" w:color="auto" w:sz="8" w:space="0"/>
                  </w:tcBorders>
                  <w:noWrap w:val="0"/>
                  <w:tcMar>
                    <w:left w:w="108" w:type="dxa"/>
                    <w:right w:w="108" w:type="dxa"/>
                  </w:tcMar>
                  <w:vAlign w:val="center"/>
                </w:tcPr>
                <w:p w14:paraId="155E59D9">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控制柜内标贴</w:t>
                  </w:r>
                </w:p>
              </w:tc>
              <w:tc>
                <w:tcPr>
                  <w:tcW w:w="2954" w:type="pct"/>
                  <w:gridSpan w:val="2"/>
                  <w:tcBorders>
                    <w:top w:val="nil"/>
                    <w:left w:val="nil"/>
                    <w:bottom w:val="single" w:color="auto" w:sz="8" w:space="0"/>
                    <w:right w:val="single" w:color="auto" w:sz="8" w:space="0"/>
                  </w:tcBorders>
                  <w:noWrap w:val="0"/>
                  <w:tcMar>
                    <w:left w:w="108" w:type="dxa"/>
                    <w:right w:w="108" w:type="dxa"/>
                  </w:tcMar>
                  <w:vAlign w:val="center"/>
                </w:tcPr>
                <w:p w14:paraId="79ACF52B">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确保控制柜内各种标贴张贴牢靠，字迹清晰。</w:t>
                  </w:r>
                </w:p>
              </w:tc>
            </w:tr>
            <w:tr w14:paraId="66AFD0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B79A340">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4</w:t>
                  </w:r>
                </w:p>
              </w:tc>
              <w:tc>
                <w:tcPr>
                  <w:tcW w:w="1631" w:type="pct"/>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14:paraId="29630627">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曳引钢丝绳上平层标记</w:t>
                  </w:r>
                </w:p>
              </w:tc>
              <w:tc>
                <w:tcPr>
                  <w:tcW w:w="2954" w:type="pct"/>
                  <w:gridSpan w:val="2"/>
                  <w:tcBorders>
                    <w:top w:val="single" w:color="auto" w:sz="8" w:space="0"/>
                    <w:left w:val="nil"/>
                    <w:bottom w:val="single" w:color="auto" w:sz="8" w:space="0"/>
                    <w:right w:val="single" w:color="auto" w:sz="8" w:space="0"/>
                  </w:tcBorders>
                  <w:noWrap w:val="0"/>
                  <w:tcMar>
                    <w:left w:w="108" w:type="dxa"/>
                    <w:right w:w="108" w:type="dxa"/>
                  </w:tcMar>
                  <w:vAlign w:val="center"/>
                </w:tcPr>
                <w:p w14:paraId="31859E36">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确保曳引钢丝绳上平层标记明显清晰可见。</w:t>
                  </w:r>
                </w:p>
              </w:tc>
            </w:tr>
            <w:tr w14:paraId="54D359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nil"/>
                    <w:left w:val="single" w:color="auto" w:sz="8" w:space="0"/>
                    <w:bottom w:val="single" w:color="auto" w:sz="4" w:space="0"/>
                    <w:right w:val="single" w:color="auto" w:sz="8" w:space="0"/>
                  </w:tcBorders>
                  <w:shd w:val="clear" w:color="auto" w:fill="auto"/>
                  <w:noWrap w:val="0"/>
                  <w:tcMar>
                    <w:left w:w="108" w:type="dxa"/>
                    <w:right w:w="108" w:type="dxa"/>
                  </w:tcMar>
                  <w:vAlign w:val="center"/>
                </w:tcPr>
                <w:p w14:paraId="2A2AD40C">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5</w:t>
                  </w:r>
                </w:p>
              </w:tc>
              <w:tc>
                <w:tcPr>
                  <w:tcW w:w="1631" w:type="pct"/>
                  <w:tcBorders>
                    <w:top w:val="nil"/>
                    <w:left w:val="nil"/>
                    <w:bottom w:val="single" w:color="auto" w:sz="4" w:space="0"/>
                    <w:right w:val="single" w:color="auto" w:sz="8" w:space="0"/>
                  </w:tcBorders>
                  <w:shd w:val="clear" w:color="auto" w:fill="FFFFFF"/>
                  <w:noWrap w:val="0"/>
                  <w:tcMar>
                    <w:left w:w="108" w:type="dxa"/>
                    <w:right w:w="108" w:type="dxa"/>
                  </w:tcMar>
                  <w:vAlign w:val="center"/>
                </w:tcPr>
                <w:p w14:paraId="450BB4C9">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三角钥匙上安全警告牌</w:t>
                  </w:r>
                </w:p>
              </w:tc>
              <w:tc>
                <w:tcPr>
                  <w:tcW w:w="2954" w:type="pct"/>
                  <w:gridSpan w:val="2"/>
                  <w:tcBorders>
                    <w:top w:val="nil"/>
                    <w:left w:val="nil"/>
                    <w:bottom w:val="single" w:color="auto" w:sz="4" w:space="0"/>
                    <w:right w:val="single" w:color="auto" w:sz="8" w:space="0"/>
                  </w:tcBorders>
                  <w:noWrap w:val="0"/>
                  <w:tcMar>
                    <w:right w:w="108" w:type="dxa"/>
                  </w:tcMar>
                  <w:vAlign w:val="center"/>
                </w:tcPr>
                <w:p w14:paraId="47DE56A8">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确保使用的三角钥匙配有安全警告牌。</w:t>
                  </w:r>
                </w:p>
              </w:tc>
            </w:tr>
            <w:tr w14:paraId="7999C1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14" w:type="pc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4A62380F">
                  <w:pPr>
                    <w:widowControl/>
                    <w:spacing w:line="260" w:lineRule="exact"/>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color w:val="auto"/>
                      <w:kern w:val="0"/>
                      <w:sz w:val="18"/>
                      <w:szCs w:val="18"/>
                      <w:lang w:bidi="ar"/>
                    </w:rPr>
                    <w:t>6</w:t>
                  </w:r>
                </w:p>
              </w:tc>
              <w:tc>
                <w:tcPr>
                  <w:tcW w:w="1631" w:type="pct"/>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14:paraId="6887EBB1">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底坑开关处安全标记</w:t>
                  </w:r>
                </w:p>
              </w:tc>
              <w:tc>
                <w:tcPr>
                  <w:tcW w:w="2954" w:type="pct"/>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1C98172">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30"/>
                      <w:kern w:val="0"/>
                      <w:sz w:val="18"/>
                      <w:szCs w:val="18"/>
                      <w:lang w:bidi="ar"/>
                    </w:rPr>
                    <w:t>确保底坑安全开关处安全标记，清晰可见。</w:t>
                  </w:r>
                </w:p>
              </w:tc>
            </w:tr>
            <w:tr w14:paraId="3E089D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0FC0B331">
                  <w:pPr>
                    <w:widowControl/>
                    <w:spacing w:line="260" w:lineRule="exact"/>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b/>
                      <w:bCs/>
                      <w:color w:val="auto"/>
                      <w:kern w:val="0"/>
                      <w:sz w:val="18"/>
                      <w:szCs w:val="18"/>
                      <w:lang w:eastAsia="zh-CN" w:bidi="ar"/>
                    </w:rPr>
                    <w:t>注：</w:t>
                  </w:r>
                  <w:r>
                    <w:rPr>
                      <w:rFonts w:hint="eastAsia" w:asciiTheme="minorEastAsia" w:hAnsiTheme="minorEastAsia" w:eastAsiaTheme="minorEastAsia" w:cstheme="minorEastAsia"/>
                      <w:color w:val="auto"/>
                      <w:kern w:val="0"/>
                      <w:sz w:val="18"/>
                      <w:szCs w:val="18"/>
                      <w:lang w:bidi="ar"/>
                    </w:rPr>
                    <w:t>1.安全检查项目每次必需确保完成，其它功能检查根据电梯功能一个季度一次。</w:t>
                  </w:r>
                </w:p>
                <w:p w14:paraId="78705815">
                  <w:pPr>
                    <w:widowControl/>
                    <w:spacing w:line="260" w:lineRule="exact"/>
                    <w:ind w:firstLine="360" w:firstLineChars="200"/>
                    <w:jc w:val="lef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kern w:val="0"/>
                      <w:sz w:val="18"/>
                      <w:szCs w:val="18"/>
                      <w:lang w:bidi="ar"/>
                    </w:rPr>
                    <w:t>2.对于保养过程中遇到的问题必需及时向有关部门反馈。</w:t>
                  </w:r>
                </w:p>
                <w:p w14:paraId="63BCA5D1">
                  <w:pPr>
                    <w:widowControl/>
                    <w:spacing w:line="260" w:lineRule="exact"/>
                    <w:ind w:firstLine="360" w:firstLineChars="200"/>
                    <w:jc w:val="left"/>
                    <w:rPr>
                      <w:rFonts w:hint="eastAsia" w:asciiTheme="minorEastAsia" w:hAnsiTheme="minorEastAsia" w:eastAsiaTheme="minorEastAsia" w:cstheme="minorEastAsia"/>
                      <w:color w:val="auto"/>
                      <w:spacing w:val="30"/>
                      <w:kern w:val="0"/>
                      <w:sz w:val="18"/>
                      <w:szCs w:val="18"/>
                      <w:lang w:bidi="ar"/>
                    </w:rPr>
                  </w:pPr>
                  <w:r>
                    <w:rPr>
                      <w:rFonts w:hint="eastAsia" w:asciiTheme="minorEastAsia" w:hAnsiTheme="minorEastAsia" w:eastAsiaTheme="minorEastAsia" w:cstheme="minorEastAsia"/>
                      <w:color w:val="auto"/>
                      <w:kern w:val="0"/>
                      <w:sz w:val="18"/>
                      <w:szCs w:val="18"/>
                      <w:lang w:bidi="ar"/>
                    </w:rPr>
                    <w:t>3.每次保养工作按本计划执行，并且由维修工填写维保记录并由用户签字。</w:t>
                  </w:r>
                </w:p>
              </w:tc>
            </w:tr>
          </w:tbl>
          <w:p w14:paraId="44DA8C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0"/>
                <w:sz w:val="21"/>
                <w:szCs w:val="21"/>
                <w:lang w:val="en-US" w:eastAsia="zh-CN" w:bidi="ar-SA"/>
              </w:rPr>
            </w:pPr>
          </w:p>
          <w:p w14:paraId="59E61A6F">
            <w:pPr>
              <w:numPr>
                <w:ilvl w:val="0"/>
                <w:numId w:val="0"/>
              </w:numPr>
              <w:rPr>
                <w:rFonts w:hint="default" w:asciiTheme="majorEastAsia" w:hAnsiTheme="majorEastAsia" w:eastAsiaTheme="majorEastAsia" w:cstheme="majorEastAsia"/>
                <w:sz w:val="24"/>
                <w:szCs w:val="24"/>
                <w:lang w:val="en-US" w:eastAsia="zh-CN"/>
              </w:rPr>
            </w:pP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828" w:type="dxa"/>
            <w:tcBorders>
              <w:left w:val="single" w:color="auto" w:sz="8" w:space="0"/>
            </w:tcBorders>
            <w:noWrap w:val="0"/>
            <w:vAlign w:val="center"/>
          </w:tcPr>
          <w:p w14:paraId="27E809C5">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3729B6C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6281D126">
            <w:pPr>
              <w:pStyle w:val="13"/>
              <w:keepNext w:val="0"/>
              <w:keepLines w:val="0"/>
              <w:widowControl/>
              <w:suppressLineNumbers w:val="0"/>
              <w:shd w:val="clear" w:fill="FFFFFF"/>
              <w:spacing w:before="0" w:beforeAutospacing="0" w:after="0" w:afterAutospacing="0" w:line="435" w:lineRule="atLeast"/>
              <w:ind w:right="0"/>
              <w:jc w:val="left"/>
              <w:rPr>
                <w:rFonts w:hint="default"/>
                <w:lang w:val="en-US" w:eastAsia="zh-CN"/>
              </w:rPr>
            </w:pPr>
            <w:r>
              <w:rPr>
                <w:rFonts w:hint="eastAsia" w:ascii="宋体" w:hAnsi="宋体" w:eastAsia="宋体" w:cs="宋体"/>
                <w:kern w:val="2"/>
                <w:sz w:val="24"/>
                <w:szCs w:val="24"/>
                <w:lang w:val="en-US" w:eastAsia="zh-CN" w:bidi="ar-SA"/>
              </w:rPr>
              <w:t>2、供应商以人民币报价。</w:t>
            </w:r>
            <w:r>
              <w:rPr>
                <w:rFonts w:hint="eastAsia" w:ascii="宋体" w:hAnsi="宋体" w:eastAsia="宋体" w:cs="Times New Roman"/>
                <w:sz w:val="24"/>
                <w:lang w:val="en-US" w:eastAsia="zh-CN"/>
              </w:rPr>
              <w:t>报价包含管理费、人工费、税金等履约过程涉及的所有费用。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p>
        </w:tc>
        <w:tc>
          <w:tcPr>
            <w:tcW w:w="6432" w:type="dxa"/>
            <w:tcBorders>
              <w:left w:val="single" w:color="auto" w:sz="4" w:space="0"/>
              <w:right w:val="single" w:color="auto" w:sz="8" w:space="0"/>
            </w:tcBorders>
            <w:noWrap w:val="0"/>
            <w:vAlign w:val="center"/>
          </w:tcPr>
          <w:p w14:paraId="3351D25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r>
              <w:rPr>
                <w:rFonts w:hint="eastAsia" w:ascii="宋体" w:hAnsi="宋体" w:cs="宋体"/>
                <w:kern w:val="0"/>
                <w:sz w:val="24"/>
                <w:u w:val="none"/>
                <w:lang w:val="en-US" w:eastAsia="zh-CN"/>
              </w:rPr>
              <w:t>及相关资格证明</w:t>
            </w:r>
          </w:p>
          <w:p w14:paraId="5AEC322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2、法人授权书原件（若为法人本人参与调研的不需要提供）</w:t>
            </w:r>
          </w:p>
          <w:p w14:paraId="6BC4CA7A">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1D5BB12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4、报价单</w:t>
            </w:r>
          </w:p>
          <w:p w14:paraId="308181E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BA7C07E">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6、服务方案</w:t>
            </w:r>
          </w:p>
          <w:p w14:paraId="28BC787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w:t>
            </w:r>
          </w:p>
          <w:p w14:paraId="00C5179E">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递交投标文件截止时间及地点</w:t>
            </w:r>
          </w:p>
        </w:tc>
        <w:tc>
          <w:tcPr>
            <w:tcW w:w="6432" w:type="dxa"/>
            <w:tcBorders>
              <w:left w:val="single" w:color="auto" w:sz="4" w:space="0"/>
              <w:right w:val="single" w:color="auto" w:sz="8" w:space="0"/>
            </w:tcBorders>
            <w:noWrap w:val="0"/>
            <w:vAlign w:val="center"/>
          </w:tcPr>
          <w:p w14:paraId="7381128B">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15</w:t>
            </w:r>
            <w:r>
              <w:rPr>
                <w:rFonts w:hint="eastAsia" w:ascii="宋体" w:hAnsi="宋体" w:eastAsia="宋体" w:cs="Times New Roman"/>
                <w:color w:val="000000"/>
                <w:sz w:val="24"/>
                <w:szCs w:val="24"/>
              </w:rPr>
              <w:t>日</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57AAADC4">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6656C46B">
            <w:pPr>
              <w:pStyle w:val="5"/>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采购办</w:t>
            </w:r>
            <w:r>
              <w:rPr>
                <w:rFonts w:hint="eastAsia" w:ascii="宋体" w:hAnsi="宋体" w:eastAsia="宋体" w:cs="Times New Roman"/>
                <w:color w:val="000000"/>
                <w:sz w:val="24"/>
                <w:szCs w:val="24"/>
                <w:lang w:eastAsia="zh-CN"/>
              </w:rPr>
              <w:t>法</w:t>
            </w:r>
          </w:p>
        </w:tc>
        <w:tc>
          <w:tcPr>
            <w:tcW w:w="6432" w:type="dxa"/>
            <w:tcBorders>
              <w:left w:val="single" w:color="auto" w:sz="4" w:space="0"/>
              <w:right w:val="single" w:color="auto" w:sz="8" w:space="0"/>
            </w:tcBorders>
            <w:noWrap w:val="0"/>
            <w:vAlign w:val="center"/>
          </w:tcPr>
          <w:p w14:paraId="109389B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color w:val="000000"/>
                <w:sz w:val="24"/>
                <w:szCs w:val="24"/>
                <w:lang w:eastAsia="zh-CN"/>
              </w:rPr>
              <w:t>综合评分</w:t>
            </w:r>
            <w:r>
              <w:rPr>
                <w:rFonts w:hint="eastAsia" w:ascii="宋体" w:hAnsi="宋体" w:eastAsia="宋体"/>
                <w:color w:val="000000"/>
                <w:sz w:val="24"/>
                <w:szCs w:val="24"/>
              </w:rPr>
              <w:t>法</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5"/>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5"/>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w:t>
            </w:r>
            <w:r>
              <w:rPr>
                <w:rFonts w:hint="eastAsia" w:ascii="宋体" w:hAnsi="宋体" w:eastAsia="宋体"/>
                <w:color w:val="000000"/>
                <w:sz w:val="24"/>
                <w:szCs w:val="24"/>
              </w:rPr>
              <w:t>签订合同。逾期未与我院签订合同的，视同放弃中标资格。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5"/>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5"/>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5"/>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5"/>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5"/>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5"/>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5"/>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0A25F0B8">
            <w:pPr>
              <w:pStyle w:val="6"/>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45BD1C2E">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auto"/>
                <w:sz w:val="24"/>
                <w:highlight w:val="none"/>
                <w:lang w:val="en-US" w:eastAsia="zh-CN"/>
              </w:rPr>
              <w:t>3年。合同一年一签，经年度考核合格，双方同意的情况下续签下一年度合同。</w:t>
            </w:r>
          </w:p>
          <w:p w14:paraId="2A1F307E">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w:t>
            </w:r>
            <w:r>
              <w:rPr>
                <w:rFonts w:hint="eastAsia" w:ascii="宋体" w:hAnsi="宋体" w:cs="Times New Roman"/>
                <w:color w:val="000000"/>
                <w:kern w:val="2"/>
                <w:sz w:val="24"/>
                <w:szCs w:val="24"/>
                <w:lang w:val="en-US" w:eastAsia="zh-CN" w:bidi="ar-SA"/>
              </w:rPr>
              <w:t>供应商提出验收要求后10天内验收。</w:t>
            </w:r>
            <w:r>
              <w:rPr>
                <w:rFonts w:hint="eastAsia" w:ascii="宋体" w:hAnsi="宋体" w:eastAsia="宋体" w:cs="Times New Roman"/>
                <w:color w:val="000000"/>
                <w:kern w:val="2"/>
                <w:sz w:val="24"/>
                <w:szCs w:val="24"/>
                <w:lang w:val="en-US" w:eastAsia="zh-CN" w:bidi="ar-SA"/>
              </w:rPr>
              <w:t>严格按照采购文件及</w:t>
            </w:r>
            <w:r>
              <w:rPr>
                <w:rFonts w:hint="eastAsia" w:ascii="宋体" w:hAnsi="宋体" w:cs="Times New Roman"/>
                <w:color w:val="000000"/>
                <w:kern w:val="2"/>
                <w:sz w:val="24"/>
                <w:szCs w:val="24"/>
                <w:lang w:val="en-US" w:eastAsia="zh-CN" w:bidi="ar-SA"/>
              </w:rPr>
              <w:t>响应文件内容以及</w:t>
            </w:r>
            <w:r>
              <w:rPr>
                <w:rFonts w:hint="eastAsia" w:ascii="宋体" w:hAnsi="宋体" w:eastAsia="宋体" w:cs="Times New Roman"/>
                <w:color w:val="000000"/>
                <w:kern w:val="2"/>
                <w:sz w:val="24"/>
                <w:szCs w:val="24"/>
                <w:lang w:val="en-US" w:eastAsia="zh-CN" w:bidi="ar-SA"/>
              </w:rPr>
              <w:t>《财政部关于进一步加强政府采购需求和履约验收管理的指导意见》（财库〔2016〕205号）、《政府采购需求管理办法》（财库〔2021〕22号）的要求进行验收。</w:t>
            </w:r>
          </w:p>
          <w:p w14:paraId="0623DAF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（4）付款方式：按</w:t>
            </w:r>
            <w:r>
              <w:rPr>
                <w:rFonts w:hint="eastAsia" w:ascii="宋体" w:hAnsi="宋体" w:cs="Times New Roman"/>
                <w:color w:val="000000"/>
                <w:kern w:val="2"/>
                <w:sz w:val="24"/>
                <w:szCs w:val="24"/>
                <w:lang w:val="en-US" w:eastAsia="zh-CN" w:bidi="ar-SA"/>
              </w:rPr>
              <w:t>年度</w:t>
            </w:r>
            <w:r>
              <w:rPr>
                <w:rFonts w:hint="eastAsia" w:ascii="宋体" w:hAnsi="宋体" w:eastAsia="宋体" w:cs="Times New Roman"/>
                <w:color w:val="000000"/>
                <w:kern w:val="2"/>
                <w:sz w:val="24"/>
                <w:szCs w:val="24"/>
                <w:lang w:val="en-US" w:eastAsia="zh-CN" w:bidi="ar-SA"/>
              </w:rPr>
              <w:t>结算</w:t>
            </w:r>
            <w:r>
              <w:rPr>
                <w:rFonts w:hint="eastAsia" w:ascii="宋体" w:hAnsi="宋体" w:cs="Times New Roman"/>
                <w:color w:val="000000"/>
                <w:kern w:val="2"/>
                <w:sz w:val="24"/>
                <w:szCs w:val="24"/>
                <w:lang w:val="en-US" w:eastAsia="zh-CN" w:bidi="ar-SA"/>
              </w:rPr>
              <w:t>。</w:t>
            </w:r>
            <w:r>
              <w:rPr>
                <w:rFonts w:hint="eastAsia" w:asciiTheme="minorEastAsia" w:hAnsiTheme="minorEastAsia" w:eastAsiaTheme="minorEastAsia" w:cstheme="minorEastAsia"/>
                <w:sz w:val="24"/>
                <w:szCs w:val="24"/>
                <w:lang w:val="en-US" w:eastAsia="zh-CN"/>
              </w:rPr>
              <w:t>合同签订后，服务满一年，且考核合格。收到乙方提供有效增值税发票，完成付款签批流程，30日内转账支付年度合同总金额的100%</w:t>
            </w:r>
            <w:r>
              <w:rPr>
                <w:rFonts w:hint="eastAsia" w:ascii="宋体" w:hAnsi="宋体" w:eastAsia="宋体" w:cs="Times New Roman"/>
                <w:color w:val="000000"/>
                <w:kern w:val="2"/>
                <w:sz w:val="24"/>
                <w:szCs w:val="24"/>
                <w:lang w:val="en-US" w:eastAsia="zh-CN" w:bidi="ar-SA"/>
              </w:rPr>
              <w:t>。</w:t>
            </w:r>
          </w:p>
          <w:p w14:paraId="33FBDDD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w:t>
            </w:r>
            <w:r>
              <w:rPr>
                <w:rFonts w:hint="eastAsia" w:asciiTheme="minorEastAsia" w:hAnsiTheme="minorEastAsia" w:eastAsiaTheme="minorEastAsia" w:cstheme="minorEastAsia"/>
                <w:sz w:val="24"/>
                <w:szCs w:val="24"/>
                <w:lang w:val="en-US" w:eastAsia="zh-CN"/>
              </w:rPr>
              <w:t>提供365×24小时报修服务</w:t>
            </w:r>
            <w:r>
              <w:rPr>
                <w:rFonts w:hint="eastAsia" w:ascii="宋体" w:hAnsi="宋体" w:cs="宋体"/>
                <w:color w:val="auto"/>
                <w:sz w:val="21"/>
                <w:szCs w:val="21"/>
                <w:lang w:eastAsia="zh-CN"/>
              </w:rPr>
              <w:t>。</w:t>
            </w:r>
          </w:p>
          <w:p w14:paraId="1FBC288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（6）其他：</w:t>
            </w:r>
            <w:r>
              <w:rPr>
                <w:rFonts w:hint="eastAsia" w:ascii="宋体" w:hAnsi="宋体" w:cs="Times New Roman"/>
                <w:color w:val="000000"/>
                <w:kern w:val="2"/>
                <w:sz w:val="24"/>
                <w:szCs w:val="24"/>
                <w:lang w:val="en-US" w:eastAsia="zh-CN" w:bidi="ar-SA"/>
              </w:rPr>
              <w:t>合同签署后，成交供应商应将相关资格证书及拟派人员相关资格证书复印件交于管理科室存档</w:t>
            </w:r>
            <w:r>
              <w:rPr>
                <w:rFonts w:hint="eastAsia" w:ascii="宋体" w:hAnsi="宋体" w:eastAsia="宋体" w:cs="Times New Roman"/>
                <w:color w:val="000000"/>
                <w:kern w:val="2"/>
                <w:sz w:val="24"/>
                <w:szCs w:val="24"/>
                <w:lang w:val="en-US" w:eastAsia="zh-CN" w:bidi="ar-SA"/>
              </w:rPr>
              <w:t>。</w:t>
            </w:r>
          </w:p>
        </w:tc>
      </w:tr>
    </w:tbl>
    <w:p w14:paraId="43F2CF02"/>
    <w:p w14:paraId="4A4CDEE3"/>
    <w:p w14:paraId="26511B70"/>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注：以下参考格式，可根据项目情况自行修改或添加条数，顺序不做固定安排。</w:t>
      </w:r>
    </w:p>
    <w:p w14:paraId="0571FD04"/>
    <w:p w14:paraId="2C9A5FF8">
      <w:pPr>
        <w:rPr>
          <w:rFonts w:hint="eastAsia"/>
        </w:rPr>
      </w:pPr>
    </w:p>
    <w:p w14:paraId="3CDE4E5D">
      <w:pPr>
        <w:pStyle w:val="2"/>
        <w:rPr>
          <w:rFonts w:hint="eastAsia"/>
        </w:rPr>
      </w:pPr>
    </w:p>
    <w:p w14:paraId="49562649">
      <w:pPr>
        <w:rPr>
          <w:rFonts w:hint="eastAsia"/>
        </w:rPr>
      </w:pPr>
    </w:p>
    <w:p w14:paraId="4A1733F7">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4"/>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36692E82">
      <w:pPr>
        <w:pStyle w:val="2"/>
        <w:rPr>
          <w:rFonts w:hint="eastAsia" w:ascii="宋体" w:hAnsi="宋体" w:eastAsia="宋体"/>
          <w:kern w:val="0"/>
          <w:sz w:val="24"/>
          <w:szCs w:val="24"/>
        </w:rPr>
      </w:pPr>
    </w:p>
    <w:p w14:paraId="128ECF11">
      <w:pPr>
        <w:rPr>
          <w:rFonts w:hint="eastAsia"/>
        </w:rPr>
      </w:pPr>
    </w:p>
    <w:p w14:paraId="2FDF6427">
      <w:pPr>
        <w:rPr>
          <w:rFonts w:hint="eastAsia" w:ascii="宋体" w:hAnsi="宋体" w:eastAsia="宋体"/>
          <w:kern w:val="0"/>
          <w:sz w:val="24"/>
          <w:szCs w:val="24"/>
        </w:rPr>
      </w:pPr>
    </w:p>
    <w:p w14:paraId="795D9A4C">
      <w:pPr>
        <w:rPr>
          <w:rFonts w:hint="eastAsia" w:ascii="宋体" w:hAnsi="宋体" w:eastAsia="宋体"/>
          <w:kern w:val="0"/>
          <w:sz w:val="24"/>
          <w:szCs w:val="24"/>
        </w:rPr>
      </w:pPr>
    </w:p>
    <w:p w14:paraId="1DE4DC39">
      <w:pPr>
        <w:pStyle w:val="4"/>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8"/>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已详细阅读遴选相关的全部要求，确认无误。我方完全理解并接受贵方的各项规定和要求。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1"/>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1"/>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1"/>
        <w:spacing w:line="264" w:lineRule="auto"/>
        <w:ind w:firstLine="480" w:firstLineChars="200"/>
        <w:rPr>
          <w:rFonts w:hint="eastAsia" w:ascii="宋体" w:hAnsi="宋体" w:eastAsia="宋体" w:cs="宋体"/>
          <w:sz w:val="24"/>
        </w:rPr>
      </w:pPr>
    </w:p>
    <w:p w14:paraId="3A5C0F7A">
      <w:pPr>
        <w:pStyle w:val="21"/>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1"/>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1"/>
      </w:pPr>
    </w:p>
    <w:p w14:paraId="4BE17565"/>
    <w:p w14:paraId="465C494F">
      <w:pPr>
        <w:pStyle w:val="8"/>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8"/>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1"/>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1"/>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1"/>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1"/>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02574363">
      <w:pPr>
        <w:rPr>
          <w:rFonts w:hint="eastAsia"/>
        </w:rPr>
      </w:pPr>
    </w:p>
    <w:p w14:paraId="21B3B53D">
      <w:pPr>
        <w:rPr>
          <w:rFonts w:hint="eastAsia"/>
        </w:rPr>
      </w:pPr>
    </w:p>
    <w:p w14:paraId="59845ADB">
      <w:pPr>
        <w:pStyle w:val="11"/>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p w14:paraId="2AA340C0">
      <w:pPr>
        <w:pStyle w:val="7"/>
        <w:numPr>
          <w:ilvl w:val="0"/>
          <w:numId w:val="0"/>
        </w:numPr>
        <w:ind w:leftChars="0"/>
        <w:rPr>
          <w:rFonts w:hint="eastAsia" w:ascii="宋体" w:hAnsi="宋体" w:cs="宋体-18030"/>
          <w:b w:val="0"/>
          <w:bCs w:val="0"/>
          <w:spacing w:val="4"/>
          <w:sz w:val="24"/>
          <w:szCs w:val="24"/>
          <w:lang w:eastAsia="zh-CN"/>
        </w:rPr>
      </w:pPr>
      <w:r>
        <w:rPr>
          <w:rFonts w:hint="eastAsia" w:ascii="宋体" w:hAnsi="宋体" w:cs="宋体-18030"/>
          <w:b w:val="0"/>
          <w:bCs w:val="0"/>
          <w:spacing w:val="4"/>
          <w:sz w:val="24"/>
          <w:szCs w:val="24"/>
          <w:lang w:eastAsia="zh-CN"/>
        </w:rPr>
        <w:t>常用零配件报价表：</w:t>
      </w:r>
    </w:p>
    <w:tbl>
      <w:tblPr>
        <w:tblStyle w:val="16"/>
        <w:tblW w:w="5000" w:type="pct"/>
        <w:tblInd w:w="0" w:type="dxa"/>
        <w:tblLayout w:type="fixed"/>
        <w:tblCellMar>
          <w:top w:w="0" w:type="dxa"/>
          <w:left w:w="0" w:type="dxa"/>
          <w:bottom w:w="0" w:type="dxa"/>
          <w:right w:w="0" w:type="dxa"/>
        </w:tblCellMar>
      </w:tblPr>
      <w:tblGrid>
        <w:gridCol w:w="2167"/>
        <w:gridCol w:w="1397"/>
        <w:gridCol w:w="790"/>
        <w:gridCol w:w="1144"/>
        <w:gridCol w:w="931"/>
        <w:gridCol w:w="2093"/>
      </w:tblGrid>
      <w:tr w14:paraId="74035AAD">
        <w:tblPrEx>
          <w:tblCellMar>
            <w:top w:w="0" w:type="dxa"/>
            <w:left w:w="0" w:type="dxa"/>
            <w:bottom w:w="0" w:type="dxa"/>
            <w:right w:w="0" w:type="dxa"/>
          </w:tblCellMar>
        </w:tblPrEx>
        <w:trPr>
          <w:trHeight w:val="300" w:hRule="atLeast"/>
        </w:trPr>
        <w:tc>
          <w:tcPr>
            <w:tcW w:w="5000" w:type="pct"/>
            <w:gridSpan w:val="6"/>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54222F">
            <w:pPr>
              <w:widowControl/>
              <w:wordWrap w:val="0"/>
              <w:spacing w:beforeAutospacing="1" w:afterAutospacing="1"/>
              <w:jc w:val="center"/>
              <w:rPr>
                <w:rFonts w:hint="eastAsia" w:asciiTheme="minorEastAsia" w:hAnsiTheme="minorEastAsia" w:eastAsiaTheme="minorEastAsia" w:cstheme="minorEastAsia"/>
                <w:b/>
                <w:bCs w:val="0"/>
                <w:color w:val="auto"/>
                <w:kern w:val="0"/>
                <w:sz w:val="24"/>
                <w:szCs w:val="24"/>
                <w:lang w:eastAsia="zh-CN" w:bidi="ar"/>
              </w:rPr>
            </w:pPr>
            <w:r>
              <w:rPr>
                <w:rFonts w:hint="eastAsia" w:asciiTheme="minorEastAsia" w:hAnsiTheme="minorEastAsia" w:eastAsiaTheme="minorEastAsia" w:cstheme="minorEastAsia"/>
                <w:b/>
                <w:bCs w:val="0"/>
                <w:color w:val="auto"/>
                <w:kern w:val="0"/>
                <w:sz w:val="24"/>
                <w:szCs w:val="24"/>
                <w:lang w:eastAsia="zh-CN" w:bidi="ar"/>
              </w:rPr>
              <w:t>常用零配件报价清单</w:t>
            </w:r>
          </w:p>
        </w:tc>
      </w:tr>
      <w:tr w14:paraId="62FD36ED">
        <w:tblPrEx>
          <w:tblCellMar>
            <w:top w:w="0" w:type="dxa"/>
            <w:left w:w="0" w:type="dxa"/>
            <w:bottom w:w="0" w:type="dxa"/>
            <w:right w:w="0" w:type="dxa"/>
          </w:tblCellMar>
        </w:tblPrEx>
        <w:trPr>
          <w:trHeight w:val="300" w:hRule="atLeast"/>
        </w:trPr>
        <w:tc>
          <w:tcPr>
            <w:tcW w:w="1271"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51F3CC">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名  称</w:t>
            </w:r>
          </w:p>
        </w:tc>
        <w:tc>
          <w:tcPr>
            <w:tcW w:w="819" w:type="pct"/>
            <w:tcBorders>
              <w:top w:val="single" w:color="auto" w:sz="8" w:space="0"/>
              <w:left w:val="nil"/>
              <w:bottom w:val="single" w:color="auto" w:sz="8" w:space="0"/>
              <w:right w:val="single" w:color="auto" w:sz="8" w:space="0"/>
            </w:tcBorders>
            <w:noWrap w:val="0"/>
            <w:tcMar>
              <w:left w:w="108" w:type="dxa"/>
              <w:right w:w="108" w:type="dxa"/>
            </w:tcMar>
            <w:vAlign w:val="center"/>
          </w:tcPr>
          <w:p w14:paraId="0BCF204D">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型  号</w:t>
            </w:r>
          </w:p>
        </w:tc>
        <w:tc>
          <w:tcPr>
            <w:tcW w:w="463" w:type="pct"/>
            <w:tcBorders>
              <w:top w:val="single" w:color="auto" w:sz="8" w:space="0"/>
              <w:left w:val="nil"/>
              <w:bottom w:val="single" w:color="auto" w:sz="8" w:space="0"/>
              <w:right w:val="single" w:color="auto" w:sz="8" w:space="0"/>
            </w:tcBorders>
            <w:noWrap w:val="0"/>
            <w:tcMar>
              <w:left w:w="108" w:type="dxa"/>
              <w:right w:w="108" w:type="dxa"/>
            </w:tcMar>
            <w:vAlign w:val="center"/>
          </w:tcPr>
          <w:p w14:paraId="7497410E">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单位</w:t>
            </w:r>
          </w:p>
        </w:tc>
        <w:tc>
          <w:tcPr>
            <w:tcW w:w="671" w:type="pct"/>
            <w:tcBorders>
              <w:top w:val="single" w:color="auto" w:sz="8" w:space="0"/>
              <w:left w:val="nil"/>
              <w:bottom w:val="single" w:color="auto" w:sz="8" w:space="0"/>
              <w:right w:val="single" w:color="auto" w:sz="8" w:space="0"/>
            </w:tcBorders>
            <w:noWrap w:val="0"/>
            <w:tcMar>
              <w:left w:w="108" w:type="dxa"/>
              <w:right w:w="108" w:type="dxa"/>
            </w:tcMar>
            <w:vAlign w:val="center"/>
          </w:tcPr>
          <w:p w14:paraId="29010187">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eastAsia="zh-CN" w:bidi="ar"/>
              </w:rPr>
              <w:t>限</w:t>
            </w:r>
            <w:r>
              <w:rPr>
                <w:rFonts w:hint="eastAsia" w:asciiTheme="minorEastAsia" w:hAnsiTheme="minorEastAsia" w:eastAsiaTheme="minorEastAsia" w:cstheme="minorEastAsia"/>
                <w:b w:val="0"/>
                <w:bCs/>
                <w:color w:val="auto"/>
                <w:kern w:val="0"/>
                <w:sz w:val="24"/>
                <w:szCs w:val="24"/>
                <w:lang w:bidi="ar"/>
              </w:rPr>
              <w:t>价（元）</w:t>
            </w:r>
          </w:p>
        </w:tc>
        <w:tc>
          <w:tcPr>
            <w:tcW w:w="546" w:type="pct"/>
            <w:tcBorders>
              <w:top w:val="single" w:color="auto" w:sz="8" w:space="0"/>
              <w:left w:val="nil"/>
              <w:bottom w:val="single" w:color="auto" w:sz="8" w:space="0"/>
              <w:right w:val="single" w:color="auto" w:sz="8" w:space="0"/>
            </w:tcBorders>
            <w:noWrap w:val="0"/>
            <w:tcMar>
              <w:left w:w="108" w:type="dxa"/>
              <w:right w:w="108" w:type="dxa"/>
            </w:tcMar>
            <w:vAlign w:val="center"/>
          </w:tcPr>
          <w:p w14:paraId="4BAA9C00">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eastAsia="zh-CN" w:bidi="ar"/>
              </w:rPr>
            </w:pPr>
            <w:r>
              <w:rPr>
                <w:rFonts w:hint="eastAsia" w:asciiTheme="minorEastAsia" w:hAnsiTheme="minorEastAsia" w:eastAsiaTheme="minorEastAsia" w:cstheme="minorEastAsia"/>
                <w:b w:val="0"/>
                <w:bCs/>
                <w:color w:val="auto"/>
                <w:kern w:val="0"/>
                <w:sz w:val="24"/>
                <w:szCs w:val="24"/>
                <w:lang w:eastAsia="zh-CN" w:bidi="ar"/>
              </w:rPr>
              <w:t>报价（元）</w:t>
            </w:r>
          </w:p>
        </w:tc>
        <w:tc>
          <w:tcPr>
            <w:tcW w:w="1227" w:type="pct"/>
            <w:tcBorders>
              <w:top w:val="single" w:color="auto" w:sz="8" w:space="0"/>
              <w:left w:val="nil"/>
              <w:bottom w:val="single" w:color="auto" w:sz="8" w:space="0"/>
              <w:right w:val="single" w:color="auto" w:sz="8" w:space="0"/>
            </w:tcBorders>
            <w:noWrap w:val="0"/>
            <w:tcMar>
              <w:left w:w="108" w:type="dxa"/>
              <w:right w:w="108" w:type="dxa"/>
            </w:tcMar>
            <w:vAlign w:val="center"/>
          </w:tcPr>
          <w:p w14:paraId="14783C19">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备注（配件是否1</w:t>
            </w:r>
            <w:r>
              <w:rPr>
                <w:rFonts w:hint="eastAsia" w:asciiTheme="minorEastAsia" w:hAnsiTheme="minorEastAsia" w:eastAsiaTheme="minorEastAsia" w:cstheme="minorEastAsia"/>
                <w:b w:val="0"/>
                <w:bCs/>
                <w:color w:val="auto"/>
                <w:kern w:val="0"/>
                <w:sz w:val="24"/>
                <w:szCs w:val="24"/>
                <w:lang w:val="en-US" w:eastAsia="zh-CN" w:bidi="ar"/>
              </w:rPr>
              <w:t>1</w:t>
            </w:r>
            <w:r>
              <w:rPr>
                <w:rFonts w:hint="eastAsia" w:asciiTheme="minorEastAsia" w:hAnsiTheme="minorEastAsia" w:eastAsiaTheme="minorEastAsia" w:cstheme="minorEastAsia"/>
                <w:b w:val="0"/>
                <w:bCs/>
                <w:color w:val="auto"/>
                <w:kern w:val="0"/>
                <w:sz w:val="24"/>
                <w:szCs w:val="24"/>
                <w:lang w:bidi="ar"/>
              </w:rPr>
              <w:t>台电梯通用，不通用请分项报价）</w:t>
            </w:r>
          </w:p>
        </w:tc>
      </w:tr>
      <w:tr w14:paraId="693507B1">
        <w:tblPrEx>
          <w:tblCellMar>
            <w:top w:w="0" w:type="dxa"/>
            <w:left w:w="0" w:type="dxa"/>
            <w:bottom w:w="0" w:type="dxa"/>
            <w:right w:w="0" w:type="dxa"/>
          </w:tblCellMar>
        </w:tblPrEx>
        <w:trPr>
          <w:trHeight w:val="350" w:hRule="atLeast"/>
        </w:trPr>
        <w:tc>
          <w:tcPr>
            <w:tcW w:w="1271" w:type="pct"/>
            <w:tcBorders>
              <w:top w:val="nil"/>
              <w:left w:val="single" w:color="auto" w:sz="8" w:space="0"/>
              <w:bottom w:val="single" w:color="auto" w:sz="8" w:space="0"/>
              <w:right w:val="single" w:color="auto" w:sz="8" w:space="0"/>
            </w:tcBorders>
            <w:noWrap w:val="0"/>
            <w:tcMar>
              <w:left w:w="108" w:type="dxa"/>
              <w:right w:w="108" w:type="dxa"/>
            </w:tcMar>
            <w:vAlign w:val="top"/>
          </w:tcPr>
          <w:p w14:paraId="696546F4">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光幕</w:t>
            </w:r>
          </w:p>
        </w:tc>
        <w:tc>
          <w:tcPr>
            <w:tcW w:w="819" w:type="pct"/>
            <w:tcBorders>
              <w:top w:val="nil"/>
              <w:left w:val="nil"/>
              <w:bottom w:val="single" w:color="auto" w:sz="8" w:space="0"/>
              <w:right w:val="single" w:color="auto" w:sz="8" w:space="0"/>
            </w:tcBorders>
            <w:noWrap w:val="0"/>
            <w:tcMar>
              <w:left w:w="108" w:type="dxa"/>
              <w:right w:w="108" w:type="dxa"/>
            </w:tcMar>
            <w:vAlign w:val="top"/>
          </w:tcPr>
          <w:p w14:paraId="6FE55A03">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nil"/>
              <w:left w:val="nil"/>
              <w:bottom w:val="single" w:color="auto" w:sz="8" w:space="0"/>
              <w:right w:val="single" w:color="auto" w:sz="8" w:space="0"/>
            </w:tcBorders>
            <w:noWrap w:val="0"/>
            <w:tcMar>
              <w:left w:w="108" w:type="dxa"/>
              <w:right w:w="108" w:type="dxa"/>
            </w:tcMar>
            <w:vAlign w:val="top"/>
          </w:tcPr>
          <w:p w14:paraId="2B753B58">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套</w:t>
            </w:r>
          </w:p>
        </w:tc>
        <w:tc>
          <w:tcPr>
            <w:tcW w:w="671" w:type="pct"/>
            <w:tcBorders>
              <w:top w:val="nil"/>
              <w:left w:val="nil"/>
              <w:bottom w:val="single" w:color="auto" w:sz="8" w:space="0"/>
              <w:right w:val="single" w:color="auto" w:sz="8" w:space="0"/>
            </w:tcBorders>
            <w:noWrap w:val="0"/>
            <w:tcMar>
              <w:left w:w="108" w:type="dxa"/>
              <w:right w:w="108" w:type="dxa"/>
            </w:tcMar>
            <w:vAlign w:val="top"/>
          </w:tcPr>
          <w:p w14:paraId="46BCE02E">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1200</w:t>
            </w:r>
          </w:p>
        </w:tc>
        <w:tc>
          <w:tcPr>
            <w:tcW w:w="546" w:type="pct"/>
            <w:tcBorders>
              <w:top w:val="nil"/>
              <w:left w:val="nil"/>
              <w:bottom w:val="single" w:color="auto" w:sz="8" w:space="0"/>
              <w:right w:val="single" w:color="auto" w:sz="8" w:space="0"/>
            </w:tcBorders>
            <w:noWrap w:val="0"/>
            <w:tcMar>
              <w:left w:w="108" w:type="dxa"/>
              <w:right w:w="108" w:type="dxa"/>
            </w:tcMar>
            <w:vAlign w:val="top"/>
          </w:tcPr>
          <w:p w14:paraId="593C7303">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nil"/>
              <w:left w:val="nil"/>
              <w:bottom w:val="single" w:color="auto" w:sz="8" w:space="0"/>
              <w:right w:val="single" w:color="auto" w:sz="8" w:space="0"/>
            </w:tcBorders>
            <w:noWrap w:val="0"/>
            <w:tcMar>
              <w:left w:w="108" w:type="dxa"/>
              <w:right w:w="108" w:type="dxa"/>
            </w:tcMar>
            <w:vAlign w:val="top"/>
          </w:tcPr>
          <w:p w14:paraId="2E42FDB9">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29F06AC4">
        <w:tblPrEx>
          <w:tblCellMar>
            <w:top w:w="0" w:type="dxa"/>
            <w:left w:w="0" w:type="dxa"/>
            <w:bottom w:w="0" w:type="dxa"/>
            <w:right w:w="0" w:type="dxa"/>
          </w:tblCellMar>
        </w:tblPrEx>
        <w:trPr>
          <w:trHeight w:val="300" w:hRule="atLeast"/>
        </w:trPr>
        <w:tc>
          <w:tcPr>
            <w:tcW w:w="1271" w:type="pct"/>
            <w:tcBorders>
              <w:top w:val="nil"/>
              <w:left w:val="single" w:color="auto" w:sz="8" w:space="0"/>
              <w:bottom w:val="single" w:color="auto" w:sz="8" w:space="0"/>
              <w:right w:val="single" w:color="auto" w:sz="8" w:space="0"/>
            </w:tcBorders>
            <w:noWrap w:val="0"/>
            <w:tcMar>
              <w:left w:w="108" w:type="dxa"/>
              <w:right w:w="108" w:type="dxa"/>
            </w:tcMar>
            <w:vAlign w:val="bottom"/>
          </w:tcPr>
          <w:p w14:paraId="2951C2C0">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曳引钢丝绳</w:t>
            </w:r>
          </w:p>
        </w:tc>
        <w:tc>
          <w:tcPr>
            <w:tcW w:w="819" w:type="pct"/>
            <w:tcBorders>
              <w:top w:val="nil"/>
              <w:left w:val="nil"/>
              <w:bottom w:val="single" w:color="auto" w:sz="8" w:space="0"/>
              <w:right w:val="single" w:color="auto" w:sz="8" w:space="0"/>
            </w:tcBorders>
            <w:noWrap w:val="0"/>
            <w:tcMar>
              <w:left w:w="108" w:type="dxa"/>
              <w:right w:w="108" w:type="dxa"/>
            </w:tcMar>
            <w:vAlign w:val="bottom"/>
          </w:tcPr>
          <w:p w14:paraId="086217F3">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p>
        </w:tc>
        <w:tc>
          <w:tcPr>
            <w:tcW w:w="463" w:type="pct"/>
            <w:tcBorders>
              <w:top w:val="nil"/>
              <w:left w:val="nil"/>
              <w:bottom w:val="single" w:color="auto" w:sz="8" w:space="0"/>
              <w:right w:val="single" w:color="auto" w:sz="8" w:space="0"/>
            </w:tcBorders>
            <w:noWrap w:val="0"/>
            <w:tcMar>
              <w:left w:w="108" w:type="dxa"/>
              <w:right w:w="108" w:type="dxa"/>
            </w:tcMar>
            <w:vAlign w:val="bottom"/>
          </w:tcPr>
          <w:p w14:paraId="038BC5F9">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米</w:t>
            </w:r>
          </w:p>
        </w:tc>
        <w:tc>
          <w:tcPr>
            <w:tcW w:w="671" w:type="pct"/>
            <w:tcBorders>
              <w:top w:val="nil"/>
              <w:left w:val="nil"/>
              <w:bottom w:val="single" w:color="auto" w:sz="8" w:space="0"/>
              <w:right w:val="single" w:color="auto" w:sz="8" w:space="0"/>
            </w:tcBorders>
            <w:noWrap w:val="0"/>
            <w:tcMar>
              <w:left w:w="108" w:type="dxa"/>
              <w:right w:w="108" w:type="dxa"/>
            </w:tcMar>
            <w:vAlign w:val="bottom"/>
          </w:tcPr>
          <w:p w14:paraId="670C839D">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12</w:t>
            </w:r>
          </w:p>
        </w:tc>
        <w:tc>
          <w:tcPr>
            <w:tcW w:w="546" w:type="pct"/>
            <w:tcBorders>
              <w:top w:val="nil"/>
              <w:left w:val="nil"/>
              <w:bottom w:val="single" w:color="auto" w:sz="8" w:space="0"/>
              <w:right w:val="single" w:color="auto" w:sz="8" w:space="0"/>
            </w:tcBorders>
            <w:noWrap w:val="0"/>
            <w:tcMar>
              <w:left w:w="108" w:type="dxa"/>
              <w:right w:w="108" w:type="dxa"/>
            </w:tcMar>
            <w:vAlign w:val="bottom"/>
          </w:tcPr>
          <w:p w14:paraId="78977795">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nil"/>
              <w:left w:val="nil"/>
              <w:bottom w:val="single" w:color="auto" w:sz="8" w:space="0"/>
              <w:right w:val="single" w:color="auto" w:sz="8" w:space="0"/>
            </w:tcBorders>
            <w:shd w:val="clear"/>
            <w:noWrap w:val="0"/>
            <w:tcMar>
              <w:left w:w="108" w:type="dxa"/>
              <w:right w:w="108" w:type="dxa"/>
            </w:tcMar>
            <w:vAlign w:val="bottom"/>
          </w:tcPr>
          <w:p w14:paraId="7FC85113">
            <w:pPr>
              <w:widowControl/>
              <w:wordWrap w:val="0"/>
              <w:spacing w:beforeAutospacing="1" w:afterAutospacing="1"/>
              <w:jc w:val="lef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0"/>
                <w:sz w:val="24"/>
                <w:szCs w:val="24"/>
                <w:lang w:bidi="ar"/>
              </w:rPr>
              <w:t>Ф</w:t>
            </w:r>
            <w:r>
              <w:rPr>
                <w:rFonts w:hint="eastAsia" w:asciiTheme="minorEastAsia" w:hAnsiTheme="minorEastAsia" w:eastAsiaTheme="minorEastAsia" w:cstheme="minorEastAsia"/>
                <w:b w:val="0"/>
                <w:bCs/>
                <w:color w:val="auto"/>
                <w:kern w:val="0"/>
                <w:sz w:val="24"/>
                <w:szCs w:val="24"/>
                <w:lang w:val="en-US" w:eastAsia="zh-CN" w:bidi="ar"/>
              </w:rPr>
              <w:t>10</w:t>
            </w:r>
          </w:p>
        </w:tc>
      </w:tr>
      <w:tr w14:paraId="68462D64">
        <w:tblPrEx>
          <w:tblCellMar>
            <w:top w:w="0" w:type="dxa"/>
            <w:left w:w="0" w:type="dxa"/>
            <w:bottom w:w="0" w:type="dxa"/>
            <w:right w:w="0" w:type="dxa"/>
          </w:tblCellMar>
        </w:tblPrEx>
        <w:trPr>
          <w:trHeight w:val="300" w:hRule="atLeast"/>
        </w:trPr>
        <w:tc>
          <w:tcPr>
            <w:tcW w:w="1271" w:type="pc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bottom"/>
          </w:tcPr>
          <w:p w14:paraId="20F01CE8">
            <w:pPr>
              <w:widowControl/>
              <w:wordWrap w:val="0"/>
              <w:spacing w:beforeAutospacing="1" w:afterAutospacing="1"/>
              <w:jc w:val="lef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0"/>
                <w:sz w:val="24"/>
                <w:szCs w:val="24"/>
                <w:lang w:bidi="ar"/>
              </w:rPr>
              <w:t>曳引钢丝绳</w:t>
            </w:r>
          </w:p>
        </w:tc>
        <w:tc>
          <w:tcPr>
            <w:tcW w:w="819" w:type="pct"/>
            <w:tcBorders>
              <w:top w:val="nil"/>
              <w:left w:val="nil"/>
              <w:bottom w:val="single" w:color="auto" w:sz="8" w:space="0"/>
              <w:right w:val="single" w:color="auto" w:sz="8" w:space="0"/>
            </w:tcBorders>
            <w:shd w:val="clear" w:color="auto" w:fill="auto"/>
            <w:noWrap w:val="0"/>
            <w:tcMar>
              <w:left w:w="108" w:type="dxa"/>
              <w:right w:w="108" w:type="dxa"/>
            </w:tcMar>
            <w:vAlign w:val="bottom"/>
          </w:tcPr>
          <w:p w14:paraId="5175DFD2">
            <w:pPr>
              <w:widowControl/>
              <w:wordWrap w:val="0"/>
              <w:spacing w:beforeAutospacing="1" w:afterAutospacing="1"/>
              <w:jc w:val="left"/>
              <w:rPr>
                <w:rFonts w:hint="eastAsia" w:asciiTheme="minorEastAsia" w:hAnsiTheme="minorEastAsia" w:eastAsiaTheme="minorEastAsia" w:cstheme="minorEastAsia"/>
                <w:b w:val="0"/>
                <w:bCs/>
                <w:color w:val="auto"/>
                <w:kern w:val="2"/>
                <w:sz w:val="24"/>
                <w:szCs w:val="24"/>
                <w:lang w:val="en-US" w:eastAsia="zh-CN" w:bidi="ar-SA"/>
              </w:rPr>
            </w:pPr>
          </w:p>
        </w:tc>
        <w:tc>
          <w:tcPr>
            <w:tcW w:w="463" w:type="pct"/>
            <w:tcBorders>
              <w:top w:val="nil"/>
              <w:left w:val="nil"/>
              <w:bottom w:val="single" w:color="auto" w:sz="8" w:space="0"/>
              <w:right w:val="single" w:color="auto" w:sz="8" w:space="0"/>
            </w:tcBorders>
            <w:shd w:val="clear" w:color="auto" w:fill="auto"/>
            <w:noWrap w:val="0"/>
            <w:tcMar>
              <w:left w:w="108" w:type="dxa"/>
              <w:right w:w="108" w:type="dxa"/>
            </w:tcMar>
            <w:vAlign w:val="bottom"/>
          </w:tcPr>
          <w:p w14:paraId="4B68656C">
            <w:pPr>
              <w:widowControl/>
              <w:wordWrap w:val="0"/>
              <w:spacing w:beforeAutospacing="1" w:afterAutospacing="1"/>
              <w:jc w:val="center"/>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0"/>
                <w:sz w:val="24"/>
                <w:szCs w:val="24"/>
                <w:lang w:bidi="ar"/>
              </w:rPr>
              <w:t>米</w:t>
            </w:r>
          </w:p>
        </w:tc>
        <w:tc>
          <w:tcPr>
            <w:tcW w:w="671" w:type="pct"/>
            <w:tcBorders>
              <w:top w:val="nil"/>
              <w:left w:val="nil"/>
              <w:bottom w:val="single" w:color="auto" w:sz="8" w:space="0"/>
              <w:right w:val="single" w:color="auto" w:sz="8" w:space="0"/>
            </w:tcBorders>
            <w:shd w:val="clear" w:color="auto" w:fill="auto"/>
            <w:noWrap w:val="0"/>
            <w:tcMar>
              <w:left w:w="108" w:type="dxa"/>
              <w:right w:w="108" w:type="dxa"/>
            </w:tcMar>
            <w:vAlign w:val="bottom"/>
          </w:tcPr>
          <w:p w14:paraId="1C507E22">
            <w:pPr>
              <w:widowControl/>
              <w:wordWrap w:val="0"/>
              <w:spacing w:beforeAutospacing="1" w:afterAutospacing="1"/>
              <w:jc w:val="lef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14</w:t>
            </w:r>
          </w:p>
        </w:tc>
        <w:tc>
          <w:tcPr>
            <w:tcW w:w="546" w:type="pct"/>
            <w:tcBorders>
              <w:top w:val="nil"/>
              <w:left w:val="nil"/>
              <w:bottom w:val="single" w:color="auto" w:sz="8" w:space="0"/>
              <w:right w:val="single" w:color="auto" w:sz="8" w:space="0"/>
            </w:tcBorders>
            <w:noWrap w:val="0"/>
            <w:tcMar>
              <w:left w:w="108" w:type="dxa"/>
              <w:right w:w="108" w:type="dxa"/>
            </w:tcMar>
            <w:vAlign w:val="bottom"/>
          </w:tcPr>
          <w:p w14:paraId="2E3DF6AB">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nil"/>
              <w:left w:val="nil"/>
              <w:bottom w:val="single" w:color="auto" w:sz="8" w:space="0"/>
              <w:right w:val="single" w:color="auto" w:sz="8" w:space="0"/>
            </w:tcBorders>
            <w:shd w:val="clear" w:color="auto" w:fill="auto"/>
            <w:noWrap w:val="0"/>
            <w:tcMar>
              <w:left w:w="108" w:type="dxa"/>
              <w:right w:w="108" w:type="dxa"/>
            </w:tcMar>
            <w:vAlign w:val="bottom"/>
          </w:tcPr>
          <w:p w14:paraId="1AEBCE34">
            <w:pPr>
              <w:widowControl/>
              <w:wordWrap w:val="0"/>
              <w:spacing w:beforeAutospacing="1" w:afterAutospacing="1"/>
              <w:jc w:val="lef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0"/>
                <w:sz w:val="24"/>
                <w:szCs w:val="24"/>
                <w:lang w:bidi="ar"/>
              </w:rPr>
              <w:t>Ф</w:t>
            </w:r>
            <w:r>
              <w:rPr>
                <w:rFonts w:hint="eastAsia" w:asciiTheme="minorEastAsia" w:hAnsiTheme="minorEastAsia" w:eastAsiaTheme="minorEastAsia" w:cstheme="minorEastAsia"/>
                <w:b w:val="0"/>
                <w:bCs/>
                <w:color w:val="auto"/>
                <w:kern w:val="0"/>
                <w:sz w:val="24"/>
                <w:szCs w:val="24"/>
                <w:lang w:val="en-US" w:eastAsia="zh-CN" w:bidi="ar"/>
              </w:rPr>
              <w:t>12</w:t>
            </w:r>
          </w:p>
        </w:tc>
      </w:tr>
      <w:tr w14:paraId="2820663D">
        <w:tblPrEx>
          <w:tblCellMar>
            <w:top w:w="0" w:type="dxa"/>
            <w:left w:w="0" w:type="dxa"/>
            <w:bottom w:w="0" w:type="dxa"/>
            <w:right w:w="0" w:type="dxa"/>
          </w:tblCellMar>
        </w:tblPrEx>
        <w:trPr>
          <w:trHeight w:val="300" w:hRule="atLeast"/>
        </w:trPr>
        <w:tc>
          <w:tcPr>
            <w:tcW w:w="1271" w:type="pct"/>
            <w:tcBorders>
              <w:top w:val="nil"/>
              <w:left w:val="single" w:color="auto" w:sz="8" w:space="0"/>
              <w:bottom w:val="single" w:color="auto" w:sz="8" w:space="0"/>
              <w:right w:val="single" w:color="auto" w:sz="8" w:space="0"/>
            </w:tcBorders>
            <w:noWrap w:val="0"/>
            <w:tcMar>
              <w:left w:w="108" w:type="dxa"/>
              <w:right w:w="108" w:type="dxa"/>
            </w:tcMar>
            <w:vAlign w:val="bottom"/>
          </w:tcPr>
          <w:p w14:paraId="3154829C">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限速器</w:t>
            </w:r>
          </w:p>
        </w:tc>
        <w:tc>
          <w:tcPr>
            <w:tcW w:w="819" w:type="pct"/>
            <w:tcBorders>
              <w:top w:val="nil"/>
              <w:left w:val="nil"/>
              <w:bottom w:val="single" w:color="auto" w:sz="8" w:space="0"/>
              <w:right w:val="single" w:color="auto" w:sz="8" w:space="0"/>
            </w:tcBorders>
            <w:noWrap w:val="0"/>
            <w:tcMar>
              <w:left w:w="108" w:type="dxa"/>
              <w:right w:w="108" w:type="dxa"/>
            </w:tcMar>
            <w:vAlign w:val="bottom"/>
          </w:tcPr>
          <w:p w14:paraId="2E5FF8A6">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nil"/>
              <w:left w:val="nil"/>
              <w:bottom w:val="single" w:color="auto" w:sz="8" w:space="0"/>
              <w:right w:val="single" w:color="auto" w:sz="8" w:space="0"/>
            </w:tcBorders>
            <w:noWrap w:val="0"/>
            <w:tcMar>
              <w:left w:w="108" w:type="dxa"/>
              <w:right w:w="108" w:type="dxa"/>
            </w:tcMar>
            <w:vAlign w:val="bottom"/>
          </w:tcPr>
          <w:p w14:paraId="6B34369D">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nil"/>
              <w:left w:val="nil"/>
              <w:bottom w:val="single" w:color="auto" w:sz="8" w:space="0"/>
              <w:right w:val="single" w:color="auto" w:sz="8" w:space="0"/>
            </w:tcBorders>
            <w:noWrap w:val="0"/>
            <w:tcMar>
              <w:left w:w="108" w:type="dxa"/>
              <w:right w:w="108" w:type="dxa"/>
            </w:tcMar>
            <w:vAlign w:val="bottom"/>
          </w:tcPr>
          <w:p w14:paraId="6B0CD6DC">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val="en-US" w:eastAsia="zh-CN" w:bidi="ar"/>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2650</w:t>
            </w:r>
          </w:p>
        </w:tc>
        <w:tc>
          <w:tcPr>
            <w:tcW w:w="546" w:type="pct"/>
            <w:tcBorders>
              <w:top w:val="nil"/>
              <w:left w:val="nil"/>
              <w:bottom w:val="single" w:color="auto" w:sz="8" w:space="0"/>
              <w:right w:val="single" w:color="auto" w:sz="8" w:space="0"/>
            </w:tcBorders>
            <w:noWrap w:val="0"/>
            <w:tcMar>
              <w:left w:w="108" w:type="dxa"/>
              <w:right w:w="108" w:type="dxa"/>
            </w:tcMar>
            <w:vAlign w:val="bottom"/>
          </w:tcPr>
          <w:p w14:paraId="5EFAD933">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nil"/>
              <w:left w:val="nil"/>
              <w:bottom w:val="single" w:color="auto" w:sz="8" w:space="0"/>
              <w:right w:val="single" w:color="auto" w:sz="8" w:space="0"/>
            </w:tcBorders>
            <w:noWrap w:val="0"/>
            <w:tcMar>
              <w:left w:w="108" w:type="dxa"/>
              <w:right w:w="108" w:type="dxa"/>
            </w:tcMar>
            <w:vAlign w:val="bottom"/>
          </w:tcPr>
          <w:p w14:paraId="43A22EC6">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4075C153">
        <w:tblPrEx>
          <w:tblCellMar>
            <w:top w:w="0" w:type="dxa"/>
            <w:left w:w="0" w:type="dxa"/>
            <w:bottom w:w="0" w:type="dxa"/>
            <w:right w:w="0" w:type="dxa"/>
          </w:tblCellMar>
        </w:tblPrEx>
        <w:trPr>
          <w:trHeight w:val="300" w:hRule="atLeast"/>
        </w:trPr>
        <w:tc>
          <w:tcPr>
            <w:tcW w:w="1271" w:type="pct"/>
            <w:tcBorders>
              <w:top w:val="nil"/>
              <w:left w:val="single" w:color="auto" w:sz="8" w:space="0"/>
              <w:bottom w:val="single" w:color="auto" w:sz="8" w:space="0"/>
              <w:right w:val="single" w:color="auto" w:sz="8" w:space="0"/>
            </w:tcBorders>
            <w:noWrap w:val="0"/>
            <w:tcMar>
              <w:left w:w="108" w:type="dxa"/>
              <w:right w:w="108" w:type="dxa"/>
            </w:tcMar>
            <w:vAlign w:val="bottom"/>
          </w:tcPr>
          <w:p w14:paraId="13F391AE">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安全钳</w:t>
            </w:r>
          </w:p>
        </w:tc>
        <w:tc>
          <w:tcPr>
            <w:tcW w:w="819" w:type="pct"/>
            <w:tcBorders>
              <w:top w:val="nil"/>
              <w:left w:val="nil"/>
              <w:bottom w:val="single" w:color="auto" w:sz="8" w:space="0"/>
              <w:right w:val="single" w:color="auto" w:sz="8" w:space="0"/>
            </w:tcBorders>
            <w:noWrap w:val="0"/>
            <w:tcMar>
              <w:left w:w="108" w:type="dxa"/>
              <w:right w:w="108" w:type="dxa"/>
            </w:tcMar>
            <w:vAlign w:val="bottom"/>
          </w:tcPr>
          <w:p w14:paraId="3F7CA26A">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463" w:type="pct"/>
            <w:tcBorders>
              <w:top w:val="nil"/>
              <w:left w:val="nil"/>
              <w:bottom w:val="single" w:color="auto" w:sz="8" w:space="0"/>
              <w:right w:val="single" w:color="auto" w:sz="8" w:space="0"/>
            </w:tcBorders>
            <w:noWrap w:val="0"/>
            <w:tcMar>
              <w:left w:w="108" w:type="dxa"/>
              <w:right w:w="108" w:type="dxa"/>
            </w:tcMar>
            <w:vAlign w:val="bottom"/>
          </w:tcPr>
          <w:p w14:paraId="78E5C8F0">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套</w:t>
            </w:r>
          </w:p>
        </w:tc>
        <w:tc>
          <w:tcPr>
            <w:tcW w:w="671" w:type="pct"/>
            <w:tcBorders>
              <w:top w:val="nil"/>
              <w:left w:val="nil"/>
              <w:bottom w:val="single" w:color="auto" w:sz="8" w:space="0"/>
              <w:right w:val="single" w:color="auto" w:sz="8" w:space="0"/>
            </w:tcBorders>
            <w:noWrap w:val="0"/>
            <w:tcMar>
              <w:left w:w="108" w:type="dxa"/>
              <w:right w:w="108" w:type="dxa"/>
            </w:tcMar>
            <w:vAlign w:val="bottom"/>
          </w:tcPr>
          <w:p w14:paraId="30FAA2AA">
            <w:pPr>
              <w:widowControl/>
              <w:wordWrap w:val="0"/>
              <w:spacing w:beforeAutospacing="1" w:afterAutospacing="1"/>
              <w:ind w:firstLine="240" w:firstLineChars="100"/>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2150</w:t>
            </w:r>
          </w:p>
        </w:tc>
        <w:tc>
          <w:tcPr>
            <w:tcW w:w="546" w:type="pct"/>
            <w:tcBorders>
              <w:top w:val="nil"/>
              <w:left w:val="nil"/>
              <w:bottom w:val="single" w:color="auto" w:sz="8" w:space="0"/>
              <w:right w:val="single" w:color="auto" w:sz="8" w:space="0"/>
            </w:tcBorders>
            <w:noWrap w:val="0"/>
            <w:tcMar>
              <w:left w:w="108" w:type="dxa"/>
              <w:right w:w="108" w:type="dxa"/>
            </w:tcMar>
            <w:vAlign w:val="bottom"/>
          </w:tcPr>
          <w:p w14:paraId="5A459DD1">
            <w:pPr>
              <w:widowControl/>
              <w:wordWrap w:val="0"/>
              <w:spacing w:beforeAutospacing="1" w:afterAutospacing="1"/>
              <w:ind w:firstLine="240" w:firstLineChars="100"/>
              <w:jc w:val="left"/>
              <w:rPr>
                <w:rFonts w:hint="eastAsia" w:asciiTheme="minorEastAsia" w:hAnsiTheme="minorEastAsia" w:eastAsiaTheme="minorEastAsia" w:cstheme="minorEastAsia"/>
                <w:b w:val="0"/>
                <w:bCs/>
                <w:color w:val="auto"/>
                <w:sz w:val="24"/>
                <w:szCs w:val="24"/>
                <w:lang w:val="en-US" w:eastAsia="zh-CN"/>
              </w:rPr>
            </w:pPr>
          </w:p>
        </w:tc>
        <w:tc>
          <w:tcPr>
            <w:tcW w:w="1227" w:type="pct"/>
            <w:tcBorders>
              <w:top w:val="nil"/>
              <w:left w:val="nil"/>
              <w:bottom w:val="single" w:color="auto" w:sz="8" w:space="0"/>
              <w:right w:val="single" w:color="auto" w:sz="8" w:space="0"/>
            </w:tcBorders>
            <w:noWrap w:val="0"/>
            <w:tcMar>
              <w:left w:w="108" w:type="dxa"/>
              <w:right w:w="108" w:type="dxa"/>
            </w:tcMar>
            <w:vAlign w:val="bottom"/>
          </w:tcPr>
          <w:p w14:paraId="0527AE2E">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466DD0FB">
        <w:tblPrEx>
          <w:tblCellMar>
            <w:top w:w="0" w:type="dxa"/>
            <w:left w:w="0" w:type="dxa"/>
            <w:bottom w:w="0" w:type="dxa"/>
            <w:right w:w="0" w:type="dxa"/>
          </w:tblCellMar>
        </w:tblPrEx>
        <w:trPr>
          <w:trHeight w:val="300" w:hRule="atLeast"/>
        </w:trPr>
        <w:tc>
          <w:tcPr>
            <w:tcW w:w="1271" w:type="pct"/>
            <w:tcBorders>
              <w:top w:val="nil"/>
              <w:left w:val="single" w:color="auto" w:sz="8" w:space="0"/>
              <w:bottom w:val="single" w:color="auto" w:sz="8" w:space="0"/>
              <w:right w:val="single" w:color="auto" w:sz="8" w:space="0"/>
            </w:tcBorders>
            <w:noWrap w:val="0"/>
            <w:tcMar>
              <w:left w:w="108" w:type="dxa"/>
              <w:right w:w="108" w:type="dxa"/>
            </w:tcMar>
            <w:vAlign w:val="bottom"/>
          </w:tcPr>
          <w:p w14:paraId="7CF4579C">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制动器</w:t>
            </w:r>
          </w:p>
        </w:tc>
        <w:tc>
          <w:tcPr>
            <w:tcW w:w="819" w:type="pct"/>
            <w:tcBorders>
              <w:top w:val="nil"/>
              <w:left w:val="nil"/>
              <w:bottom w:val="single" w:color="auto" w:sz="8" w:space="0"/>
              <w:right w:val="single" w:color="auto" w:sz="8" w:space="0"/>
            </w:tcBorders>
            <w:noWrap w:val="0"/>
            <w:tcMar>
              <w:left w:w="108" w:type="dxa"/>
              <w:right w:w="108" w:type="dxa"/>
            </w:tcMar>
            <w:vAlign w:val="bottom"/>
          </w:tcPr>
          <w:p w14:paraId="370BAD60">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463" w:type="pct"/>
            <w:tcBorders>
              <w:top w:val="nil"/>
              <w:left w:val="nil"/>
              <w:bottom w:val="single" w:color="auto" w:sz="8" w:space="0"/>
              <w:right w:val="single" w:color="auto" w:sz="8" w:space="0"/>
            </w:tcBorders>
            <w:noWrap w:val="0"/>
            <w:tcMar>
              <w:left w:w="108" w:type="dxa"/>
              <w:right w:w="108" w:type="dxa"/>
            </w:tcMar>
            <w:vAlign w:val="bottom"/>
          </w:tcPr>
          <w:p w14:paraId="22E1E172">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nil"/>
              <w:left w:val="nil"/>
              <w:bottom w:val="single" w:color="auto" w:sz="8" w:space="0"/>
              <w:right w:val="single" w:color="auto" w:sz="8" w:space="0"/>
            </w:tcBorders>
            <w:noWrap w:val="0"/>
            <w:tcMar>
              <w:left w:w="108" w:type="dxa"/>
              <w:right w:w="108" w:type="dxa"/>
            </w:tcMar>
            <w:vAlign w:val="bottom"/>
          </w:tcPr>
          <w:p w14:paraId="3BC966EA">
            <w:pPr>
              <w:widowControl/>
              <w:wordWrap w:val="0"/>
              <w:spacing w:beforeAutospacing="1" w:afterAutospacing="1"/>
              <w:ind w:firstLine="240" w:firstLineChars="100"/>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2400</w:t>
            </w:r>
          </w:p>
        </w:tc>
        <w:tc>
          <w:tcPr>
            <w:tcW w:w="546" w:type="pct"/>
            <w:tcBorders>
              <w:top w:val="nil"/>
              <w:left w:val="nil"/>
              <w:bottom w:val="single" w:color="auto" w:sz="8" w:space="0"/>
              <w:right w:val="single" w:color="auto" w:sz="8" w:space="0"/>
            </w:tcBorders>
            <w:noWrap w:val="0"/>
            <w:tcMar>
              <w:left w:w="108" w:type="dxa"/>
              <w:right w:w="108" w:type="dxa"/>
            </w:tcMar>
            <w:vAlign w:val="bottom"/>
          </w:tcPr>
          <w:p w14:paraId="21C4305D">
            <w:pPr>
              <w:widowControl/>
              <w:wordWrap w:val="0"/>
              <w:spacing w:beforeAutospacing="1" w:afterAutospacing="1"/>
              <w:ind w:firstLine="240" w:firstLineChars="100"/>
              <w:jc w:val="left"/>
              <w:rPr>
                <w:rFonts w:hint="eastAsia" w:asciiTheme="minorEastAsia" w:hAnsiTheme="minorEastAsia" w:eastAsiaTheme="minorEastAsia" w:cstheme="minorEastAsia"/>
                <w:b w:val="0"/>
                <w:bCs/>
                <w:color w:val="auto"/>
                <w:sz w:val="24"/>
                <w:szCs w:val="24"/>
                <w:lang w:val="en-US" w:eastAsia="zh-CN"/>
              </w:rPr>
            </w:pPr>
          </w:p>
        </w:tc>
        <w:tc>
          <w:tcPr>
            <w:tcW w:w="1227" w:type="pct"/>
            <w:tcBorders>
              <w:top w:val="nil"/>
              <w:left w:val="nil"/>
              <w:bottom w:val="single" w:color="auto" w:sz="8" w:space="0"/>
              <w:right w:val="single" w:color="auto" w:sz="8" w:space="0"/>
            </w:tcBorders>
            <w:noWrap w:val="0"/>
            <w:tcMar>
              <w:left w:w="108" w:type="dxa"/>
              <w:right w:w="108" w:type="dxa"/>
            </w:tcMar>
            <w:vAlign w:val="bottom"/>
          </w:tcPr>
          <w:p w14:paraId="7E79D2BC">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06848BFB">
        <w:tblPrEx>
          <w:tblCellMar>
            <w:top w:w="0" w:type="dxa"/>
            <w:left w:w="0" w:type="dxa"/>
            <w:bottom w:w="0" w:type="dxa"/>
            <w:right w:w="0" w:type="dxa"/>
          </w:tblCellMar>
        </w:tblPrEx>
        <w:trPr>
          <w:trHeight w:val="300" w:hRule="atLeast"/>
        </w:trPr>
        <w:tc>
          <w:tcPr>
            <w:tcW w:w="1271" w:type="pct"/>
            <w:tcBorders>
              <w:top w:val="nil"/>
              <w:left w:val="single" w:color="auto" w:sz="8" w:space="0"/>
              <w:bottom w:val="single" w:color="auto" w:sz="8" w:space="0"/>
              <w:right w:val="single" w:color="auto" w:sz="8" w:space="0"/>
            </w:tcBorders>
            <w:noWrap w:val="0"/>
            <w:tcMar>
              <w:left w:w="108" w:type="dxa"/>
              <w:right w:w="108" w:type="dxa"/>
            </w:tcMar>
            <w:vAlign w:val="bottom"/>
          </w:tcPr>
          <w:p w14:paraId="121E3DFB">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厅门头组件</w:t>
            </w:r>
          </w:p>
        </w:tc>
        <w:tc>
          <w:tcPr>
            <w:tcW w:w="819" w:type="pct"/>
            <w:tcBorders>
              <w:top w:val="nil"/>
              <w:left w:val="nil"/>
              <w:bottom w:val="single" w:color="auto" w:sz="8" w:space="0"/>
              <w:right w:val="single" w:color="auto" w:sz="8" w:space="0"/>
            </w:tcBorders>
            <w:noWrap w:val="0"/>
            <w:tcMar>
              <w:left w:w="108" w:type="dxa"/>
              <w:right w:w="108" w:type="dxa"/>
            </w:tcMar>
            <w:vAlign w:val="bottom"/>
          </w:tcPr>
          <w:p w14:paraId="3F20DA42">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p>
        </w:tc>
        <w:tc>
          <w:tcPr>
            <w:tcW w:w="463" w:type="pct"/>
            <w:tcBorders>
              <w:top w:val="nil"/>
              <w:left w:val="nil"/>
              <w:bottom w:val="single" w:color="auto" w:sz="8" w:space="0"/>
              <w:right w:val="single" w:color="auto" w:sz="8" w:space="0"/>
            </w:tcBorders>
            <w:noWrap w:val="0"/>
            <w:tcMar>
              <w:left w:w="108" w:type="dxa"/>
              <w:right w:w="108" w:type="dxa"/>
            </w:tcMar>
            <w:vAlign w:val="bottom"/>
          </w:tcPr>
          <w:p w14:paraId="0159F83F">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套</w:t>
            </w:r>
          </w:p>
        </w:tc>
        <w:tc>
          <w:tcPr>
            <w:tcW w:w="671" w:type="pct"/>
            <w:tcBorders>
              <w:top w:val="nil"/>
              <w:left w:val="nil"/>
              <w:bottom w:val="single" w:color="auto" w:sz="8" w:space="0"/>
              <w:right w:val="single" w:color="auto" w:sz="8" w:space="0"/>
            </w:tcBorders>
            <w:noWrap w:val="0"/>
            <w:tcMar>
              <w:left w:w="108" w:type="dxa"/>
              <w:right w:w="108" w:type="dxa"/>
            </w:tcMar>
            <w:vAlign w:val="bottom"/>
          </w:tcPr>
          <w:p w14:paraId="410278DA">
            <w:pPr>
              <w:widowControl/>
              <w:wordWrap w:val="0"/>
              <w:spacing w:beforeAutospacing="1" w:afterAutospacing="1"/>
              <w:ind w:firstLine="240" w:firstLineChars="100"/>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1650</w:t>
            </w:r>
          </w:p>
        </w:tc>
        <w:tc>
          <w:tcPr>
            <w:tcW w:w="546" w:type="pct"/>
            <w:tcBorders>
              <w:top w:val="nil"/>
              <w:left w:val="nil"/>
              <w:bottom w:val="single" w:color="auto" w:sz="8" w:space="0"/>
              <w:right w:val="single" w:color="auto" w:sz="8" w:space="0"/>
            </w:tcBorders>
            <w:noWrap w:val="0"/>
            <w:tcMar>
              <w:left w:w="108" w:type="dxa"/>
              <w:right w:w="108" w:type="dxa"/>
            </w:tcMar>
            <w:vAlign w:val="bottom"/>
          </w:tcPr>
          <w:p w14:paraId="7333C9B0">
            <w:pPr>
              <w:widowControl/>
              <w:wordWrap w:val="0"/>
              <w:spacing w:beforeAutospacing="1" w:afterAutospacing="1"/>
              <w:ind w:firstLine="240" w:firstLineChars="100"/>
              <w:jc w:val="left"/>
              <w:rPr>
                <w:rFonts w:hint="eastAsia" w:asciiTheme="minorEastAsia" w:hAnsiTheme="minorEastAsia" w:eastAsiaTheme="minorEastAsia" w:cstheme="minorEastAsia"/>
                <w:b w:val="0"/>
                <w:bCs/>
                <w:color w:val="auto"/>
                <w:sz w:val="24"/>
                <w:szCs w:val="24"/>
                <w:lang w:val="en-US" w:eastAsia="zh-CN"/>
              </w:rPr>
            </w:pPr>
          </w:p>
        </w:tc>
        <w:tc>
          <w:tcPr>
            <w:tcW w:w="1227" w:type="pct"/>
            <w:tcBorders>
              <w:top w:val="nil"/>
              <w:left w:val="nil"/>
              <w:bottom w:val="single" w:color="auto" w:sz="8" w:space="0"/>
              <w:right w:val="single" w:color="auto" w:sz="8" w:space="0"/>
            </w:tcBorders>
            <w:noWrap w:val="0"/>
            <w:tcMar>
              <w:left w:w="108" w:type="dxa"/>
              <w:right w:w="108" w:type="dxa"/>
            </w:tcMar>
            <w:vAlign w:val="bottom"/>
          </w:tcPr>
          <w:p w14:paraId="1633AF6B">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6180B45A">
        <w:tblPrEx>
          <w:tblCellMar>
            <w:top w:w="0" w:type="dxa"/>
            <w:left w:w="0" w:type="dxa"/>
            <w:bottom w:w="0" w:type="dxa"/>
            <w:right w:w="0" w:type="dxa"/>
          </w:tblCellMar>
        </w:tblPrEx>
        <w:trPr>
          <w:trHeight w:val="300" w:hRule="atLeast"/>
        </w:trPr>
        <w:tc>
          <w:tcPr>
            <w:tcW w:w="1271" w:type="pct"/>
            <w:tcBorders>
              <w:top w:val="nil"/>
              <w:left w:val="single" w:color="auto" w:sz="8" w:space="0"/>
              <w:bottom w:val="single" w:color="auto" w:sz="4" w:space="0"/>
              <w:right w:val="single" w:color="auto" w:sz="8" w:space="0"/>
            </w:tcBorders>
            <w:noWrap w:val="0"/>
            <w:tcMar>
              <w:left w:w="108" w:type="dxa"/>
              <w:right w:w="108" w:type="dxa"/>
            </w:tcMar>
            <w:vAlign w:val="bottom"/>
          </w:tcPr>
          <w:p w14:paraId="0F6DEB4E">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地坎组件</w:t>
            </w:r>
          </w:p>
        </w:tc>
        <w:tc>
          <w:tcPr>
            <w:tcW w:w="819" w:type="pct"/>
            <w:tcBorders>
              <w:top w:val="nil"/>
              <w:left w:val="nil"/>
              <w:bottom w:val="single" w:color="auto" w:sz="4" w:space="0"/>
              <w:right w:val="single" w:color="auto" w:sz="8" w:space="0"/>
            </w:tcBorders>
            <w:noWrap w:val="0"/>
            <w:tcMar>
              <w:left w:w="108" w:type="dxa"/>
              <w:right w:w="108" w:type="dxa"/>
            </w:tcMar>
            <w:vAlign w:val="bottom"/>
          </w:tcPr>
          <w:p w14:paraId="528B6415">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p>
        </w:tc>
        <w:tc>
          <w:tcPr>
            <w:tcW w:w="463" w:type="pct"/>
            <w:tcBorders>
              <w:top w:val="nil"/>
              <w:left w:val="nil"/>
              <w:bottom w:val="single" w:color="auto" w:sz="4" w:space="0"/>
              <w:right w:val="single" w:color="auto" w:sz="8" w:space="0"/>
            </w:tcBorders>
            <w:noWrap w:val="0"/>
            <w:tcMar>
              <w:left w:w="108" w:type="dxa"/>
              <w:right w:w="108" w:type="dxa"/>
            </w:tcMar>
            <w:vAlign w:val="bottom"/>
          </w:tcPr>
          <w:p w14:paraId="2DE9D364">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套</w:t>
            </w:r>
          </w:p>
        </w:tc>
        <w:tc>
          <w:tcPr>
            <w:tcW w:w="671" w:type="pct"/>
            <w:tcBorders>
              <w:top w:val="nil"/>
              <w:left w:val="nil"/>
              <w:bottom w:val="single" w:color="auto" w:sz="4" w:space="0"/>
              <w:right w:val="single" w:color="auto" w:sz="8" w:space="0"/>
            </w:tcBorders>
            <w:noWrap w:val="0"/>
            <w:tcMar>
              <w:left w:w="108" w:type="dxa"/>
              <w:right w:w="108" w:type="dxa"/>
            </w:tcMar>
            <w:vAlign w:val="bottom"/>
          </w:tcPr>
          <w:p w14:paraId="54F06C74">
            <w:pPr>
              <w:widowControl/>
              <w:wordWrap w:val="0"/>
              <w:spacing w:beforeAutospacing="1" w:afterAutospacing="1"/>
              <w:ind w:firstLine="240" w:firstLineChars="100"/>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580</w:t>
            </w:r>
          </w:p>
        </w:tc>
        <w:tc>
          <w:tcPr>
            <w:tcW w:w="546" w:type="pct"/>
            <w:tcBorders>
              <w:top w:val="nil"/>
              <w:left w:val="nil"/>
              <w:bottom w:val="single" w:color="auto" w:sz="4" w:space="0"/>
              <w:right w:val="single" w:color="auto" w:sz="8" w:space="0"/>
            </w:tcBorders>
            <w:noWrap w:val="0"/>
            <w:tcMar>
              <w:left w:w="108" w:type="dxa"/>
              <w:right w:w="108" w:type="dxa"/>
            </w:tcMar>
            <w:vAlign w:val="bottom"/>
          </w:tcPr>
          <w:p w14:paraId="4B2320BC">
            <w:pPr>
              <w:widowControl/>
              <w:wordWrap w:val="0"/>
              <w:spacing w:beforeAutospacing="1" w:afterAutospacing="1"/>
              <w:ind w:firstLine="240" w:firstLineChars="100"/>
              <w:jc w:val="left"/>
              <w:rPr>
                <w:rFonts w:hint="eastAsia" w:asciiTheme="minorEastAsia" w:hAnsiTheme="minorEastAsia" w:eastAsiaTheme="minorEastAsia" w:cstheme="minorEastAsia"/>
                <w:b w:val="0"/>
                <w:bCs/>
                <w:color w:val="auto"/>
                <w:sz w:val="24"/>
                <w:szCs w:val="24"/>
                <w:lang w:val="en-US" w:eastAsia="zh-CN"/>
              </w:rPr>
            </w:pPr>
          </w:p>
        </w:tc>
        <w:tc>
          <w:tcPr>
            <w:tcW w:w="1227" w:type="pct"/>
            <w:tcBorders>
              <w:top w:val="nil"/>
              <w:left w:val="nil"/>
              <w:bottom w:val="single" w:color="auto" w:sz="4" w:space="0"/>
              <w:right w:val="single" w:color="auto" w:sz="8" w:space="0"/>
            </w:tcBorders>
            <w:noWrap w:val="0"/>
            <w:tcMar>
              <w:left w:w="108" w:type="dxa"/>
              <w:right w:w="108" w:type="dxa"/>
            </w:tcMar>
            <w:vAlign w:val="bottom"/>
          </w:tcPr>
          <w:p w14:paraId="3EFD73B9">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6D825C40">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8E2ACFA">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补偿链</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9C314CC">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3317162">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米</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26BAE19">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32</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F7448FF">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D27209F">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eastAsia="zh-CN" w:bidi="ar"/>
              </w:rPr>
              <w:t>链径</w:t>
            </w:r>
            <w:r>
              <w:rPr>
                <w:rFonts w:hint="eastAsia" w:asciiTheme="minorEastAsia" w:hAnsiTheme="minorEastAsia" w:eastAsiaTheme="minorEastAsia" w:cstheme="minorEastAsia"/>
                <w:b w:val="0"/>
                <w:bCs/>
                <w:color w:val="auto"/>
                <w:kern w:val="0"/>
                <w:sz w:val="24"/>
                <w:szCs w:val="24"/>
                <w:lang w:val="en-US" w:eastAsia="zh-CN" w:bidi="ar"/>
              </w:rPr>
              <w:t xml:space="preserve"> 10mm</w:t>
            </w:r>
          </w:p>
        </w:tc>
      </w:tr>
      <w:tr w14:paraId="66E98F2A">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263E0A1">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补偿链导向轮轴承</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2467771">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874025D">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米</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60FA73E">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133</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C56E860">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89AFAB0">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0E09CCAA">
        <w:tblPrEx>
          <w:tblCellMar>
            <w:top w:w="0" w:type="dxa"/>
            <w:left w:w="0" w:type="dxa"/>
            <w:bottom w:w="0" w:type="dxa"/>
            <w:right w:w="0" w:type="dxa"/>
          </w:tblCellMar>
        </w:tblPrEx>
        <w:trPr>
          <w:trHeight w:val="315"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C58C69B">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防晃装置</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63D45CA">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5FD0040">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B6DF402">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75</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12184A6">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A095B85">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048FE3BB">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526FF8C">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开关</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383EE53">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6AFB54D">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4DC5E6C">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130</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85C787B">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BAC6DDA">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3906195E">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3CEE5D4">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轿厢风扇</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FE654E1">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A37C69A">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68993EE">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180</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487C751">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48A0418">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5D4557E9">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4A5FDC8">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缓冲器</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829642A">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73D94C4">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6E472C4">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2100</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8398F4E">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893FBE1">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03DC4037">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D8810FC">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偏心轮</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969C397">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val="en-US" w:eastAsia="zh-CN"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7F62F1F">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9D01AEE">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6</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7D8A693">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22FF0A0">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Ф</w:t>
            </w:r>
            <w:r>
              <w:rPr>
                <w:rFonts w:hint="eastAsia" w:asciiTheme="minorEastAsia" w:hAnsiTheme="minorEastAsia" w:eastAsiaTheme="minorEastAsia" w:cstheme="minorEastAsia"/>
                <w:b w:val="0"/>
                <w:bCs/>
                <w:color w:val="auto"/>
                <w:kern w:val="0"/>
                <w:sz w:val="24"/>
                <w:szCs w:val="24"/>
                <w:lang w:val="en-US" w:eastAsia="zh-CN" w:bidi="ar"/>
              </w:rPr>
              <w:t>25</w:t>
            </w:r>
          </w:p>
        </w:tc>
      </w:tr>
      <w:tr w14:paraId="31AF551E">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8B079F6">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按钮</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1837BED">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F19261B">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284BE92">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55</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23FCD7E">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5616A03">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42054D9E">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6C51E17">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易升滑块</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075C4A4">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C9D03FF">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2909AC1">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3</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7D776D5">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F9965FD">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56FBE16F">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0A421F4">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应急灯</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ED4BABD">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72DBAFA">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95AD2FA">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15</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CF60118">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216C750">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779B2BAE">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90D1775">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蜂鸣器</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197F897">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5C8CD72">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C16E55D">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20</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268336C">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3D19E01">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56EE629F">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DF36AF4">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应急电源</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2237EC2">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E8F4D4F">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5105854">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160</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889D1E0">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43685FD">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7DBF9AC6">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539D592">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大方油杯</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51F49D6">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30E5A56">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949C66A">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25</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1ACD8F7">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15A3DDF">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26FE81F9">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57089B9">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圆油杯</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7A06408">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104BDC3">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2769C2F">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25</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DC4404F">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0AE6C78">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1364667B">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9BA0F80">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小方油杯</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B80ED6F">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459FB93">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D7A42B5">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15</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D28A5AD">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6D6A076">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3CE6CEEC">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6A456BC">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急停按钮开关盒</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2E36BC6">
            <w:pPr>
              <w:widowControl/>
              <w:wordWrap w:val="0"/>
              <w:spacing w:before="100" w:beforeAutospacing="1" w:after="100"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C12B13F">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EDC5967">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35</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80AFB8C">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F6C4721">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7E57B8A0">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5CCA264">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楼层显示器</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B7D3FD5">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D8CEE44">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22703E2">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360</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A317BE3">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75D356C">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17B6E28A">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10549F8">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门机皮带</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559A6CA">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5DD0DFB">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D6B03A8">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70</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412801A">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A363E96">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2672141C">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353B1D4">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应急灯</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7A7F1A3">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360E09C">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6DA3F47">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15</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231C668">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D3E6691">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01BCCAC7">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DFE81E5">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反绳轮轴承</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4ECDD02">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6D88531">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E983FEE">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2360</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C754F8B">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3BA8FB0">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191223BD">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9D326C5">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门导靴</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690F2130">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B2D140E">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3F284DB">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5</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9B430F1">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BD79AB5">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4354D8F7">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851134B">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呼梯按钮</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7116CF3">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26DD65C">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86CC6A7">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val="en-US" w:eastAsia="zh-CN" w:bidi="ar"/>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55</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71B0EFF">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DF12854">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1A3E2E77">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906E667">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主交流接触器</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9A21F69">
            <w:pPr>
              <w:widowControl/>
              <w:wordWrap w:val="0"/>
              <w:spacing w:beforeAutospacing="1" w:afterAutospacing="1"/>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3C63E72">
            <w:pPr>
              <w:widowControl/>
              <w:wordWrap w:val="0"/>
              <w:spacing w:beforeAutospacing="1" w:afterAutospacing="1"/>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FC08156">
            <w:pPr>
              <w:widowControl/>
              <w:wordWrap w:val="0"/>
              <w:spacing w:beforeAutospacing="1" w:afterAutospacing="1"/>
              <w:jc w:val="left"/>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410</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1380708E">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7DA09F37">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0E9E89D6">
        <w:tblPrEx>
          <w:tblCellMar>
            <w:top w:w="0" w:type="dxa"/>
            <w:left w:w="0" w:type="dxa"/>
            <w:bottom w:w="0" w:type="dxa"/>
            <w:right w:w="0" w:type="dxa"/>
          </w:tblCellMar>
        </w:tblPrEx>
        <w:trPr>
          <w:trHeight w:val="300" w:hRule="atLeast"/>
        </w:trPr>
        <w:tc>
          <w:tcPr>
            <w:tcW w:w="12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2226DDD9">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功能继电器</w:t>
            </w:r>
          </w:p>
        </w:tc>
        <w:tc>
          <w:tcPr>
            <w:tcW w:w="819"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429EE783">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 </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8B562BD">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bidi="ar"/>
              </w:rPr>
            </w:pPr>
            <w:r>
              <w:rPr>
                <w:rFonts w:hint="eastAsia" w:asciiTheme="minorEastAsia" w:hAnsiTheme="minorEastAsia" w:eastAsiaTheme="minorEastAsia" w:cstheme="minorEastAsia"/>
                <w:b w:val="0"/>
                <w:bCs/>
                <w:color w:val="auto"/>
                <w:kern w:val="0"/>
                <w:sz w:val="24"/>
                <w:szCs w:val="24"/>
                <w:lang w:bidi="ar"/>
              </w:rPr>
              <w:t>个</w:t>
            </w:r>
          </w:p>
        </w:tc>
        <w:tc>
          <w:tcPr>
            <w:tcW w:w="671"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9F3678D">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val="en-US" w:eastAsia="zh-CN" w:bidi="ar"/>
              </w:rPr>
            </w:pPr>
            <w:r>
              <w:rPr>
                <w:rFonts w:hint="eastAsia" w:asciiTheme="minorEastAsia" w:hAnsiTheme="minorEastAsia" w:eastAsiaTheme="minorEastAsia" w:cstheme="minorEastAsia"/>
                <w:b w:val="0"/>
                <w:bCs/>
                <w:color w:val="auto"/>
                <w:kern w:val="0"/>
                <w:sz w:val="24"/>
                <w:szCs w:val="24"/>
                <w:lang w:bidi="ar"/>
              </w:rPr>
              <w:t> </w:t>
            </w:r>
            <w:r>
              <w:rPr>
                <w:rFonts w:hint="eastAsia" w:asciiTheme="minorEastAsia" w:hAnsiTheme="minorEastAsia" w:eastAsiaTheme="minorEastAsia" w:cstheme="minorEastAsia"/>
                <w:b w:val="0"/>
                <w:bCs/>
                <w:color w:val="auto"/>
                <w:kern w:val="0"/>
                <w:sz w:val="24"/>
                <w:szCs w:val="24"/>
                <w:lang w:val="en-US" w:eastAsia="zh-CN" w:bidi="ar"/>
              </w:rPr>
              <w:t>20</w:t>
            </w:r>
          </w:p>
        </w:tc>
        <w:tc>
          <w:tcPr>
            <w:tcW w:w="546"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0A7F7531">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1227"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0983048">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r w14:paraId="03AC935C">
        <w:tblPrEx>
          <w:tblCellMar>
            <w:top w:w="0" w:type="dxa"/>
            <w:left w:w="0" w:type="dxa"/>
            <w:bottom w:w="0" w:type="dxa"/>
            <w:right w:w="0" w:type="dxa"/>
          </w:tblCellMar>
        </w:tblPrEx>
        <w:trPr>
          <w:trHeight w:val="300" w:hRule="atLeast"/>
        </w:trPr>
        <w:tc>
          <w:tcPr>
            <w:tcW w:w="2091" w:type="pct"/>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9C95401">
            <w:pPr>
              <w:widowControl/>
              <w:wordWrap w:val="0"/>
              <w:spacing w:beforeAutospacing="1" w:afterAutospacing="1"/>
              <w:jc w:val="center"/>
              <w:rPr>
                <w:rFonts w:hint="eastAsia" w:asciiTheme="minorEastAsia" w:hAnsiTheme="minorEastAsia" w:eastAsiaTheme="minorEastAsia" w:cstheme="minorEastAsia"/>
                <w:b w:val="0"/>
                <w:bCs/>
                <w:color w:val="auto"/>
                <w:kern w:val="0"/>
                <w:sz w:val="24"/>
                <w:szCs w:val="24"/>
                <w:lang w:eastAsia="zh-CN" w:bidi="ar"/>
              </w:rPr>
            </w:pPr>
            <w:r>
              <w:rPr>
                <w:rFonts w:hint="eastAsia" w:asciiTheme="minorEastAsia" w:hAnsiTheme="minorEastAsia" w:eastAsiaTheme="minorEastAsia" w:cstheme="minorEastAsia"/>
                <w:b w:val="0"/>
                <w:bCs/>
                <w:color w:val="auto"/>
                <w:kern w:val="0"/>
                <w:sz w:val="24"/>
                <w:szCs w:val="24"/>
                <w:lang w:eastAsia="zh-CN" w:bidi="ar"/>
              </w:rPr>
              <w:t>合计</w:t>
            </w:r>
          </w:p>
        </w:tc>
        <w:tc>
          <w:tcPr>
            <w:tcW w:w="463" w:type="pct"/>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56CA54B3">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c>
          <w:tcPr>
            <w:tcW w:w="2445" w:type="pct"/>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bottom"/>
          </w:tcPr>
          <w:p w14:paraId="312C502A">
            <w:pPr>
              <w:widowControl/>
              <w:wordWrap w:val="0"/>
              <w:spacing w:beforeAutospacing="1" w:afterAutospacing="1"/>
              <w:jc w:val="left"/>
              <w:rPr>
                <w:rFonts w:hint="eastAsia" w:asciiTheme="minorEastAsia" w:hAnsiTheme="minorEastAsia" w:eastAsiaTheme="minorEastAsia" w:cstheme="minorEastAsia"/>
                <w:b w:val="0"/>
                <w:bCs/>
                <w:color w:val="auto"/>
                <w:kern w:val="0"/>
                <w:sz w:val="24"/>
                <w:szCs w:val="24"/>
                <w:lang w:bidi="ar"/>
              </w:rPr>
            </w:pPr>
          </w:p>
        </w:tc>
      </w:tr>
    </w:tbl>
    <w:p w14:paraId="2175F1F4">
      <w:pPr>
        <w:rPr>
          <w:rFonts w:hint="eastAsia"/>
          <w:lang w:eastAsia="zh-CN"/>
        </w:rPr>
      </w:pPr>
    </w:p>
    <w:p w14:paraId="7400A229">
      <w:pPr>
        <w:pStyle w:val="2"/>
        <w:rPr>
          <w:rFonts w:hint="eastAsia"/>
          <w:lang w:eastAsia="zh-CN"/>
        </w:rPr>
      </w:pPr>
    </w:p>
    <w:tbl>
      <w:tblPr>
        <w:tblStyle w:val="17"/>
        <w:tblpPr w:leftFromText="180" w:rightFromText="180" w:vertAnchor="text" w:horzAnchor="page" w:tblpX="2174" w:tblpY="4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3281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758" w:type="dxa"/>
            <w:gridSpan w:val="2"/>
            <w:noWrap w:val="0"/>
            <w:vAlign w:val="center"/>
          </w:tcPr>
          <w:p w14:paraId="7B423D03">
            <w:pPr>
              <w:jc w:val="center"/>
              <w:rPr>
                <w:rFonts w:hint="eastAsia" w:eastAsia="宋体"/>
                <w:vertAlign w:val="baseline"/>
                <w:lang w:eastAsia="zh-CN"/>
              </w:rPr>
            </w:pPr>
            <w:r>
              <w:rPr>
                <w:rFonts w:hint="eastAsia"/>
                <w:sz w:val="24"/>
                <w:szCs w:val="24"/>
                <w:vertAlign w:val="baseline"/>
                <w:lang w:eastAsia="zh-CN"/>
              </w:rPr>
              <w:t>服务费报价表</w:t>
            </w:r>
          </w:p>
        </w:tc>
      </w:tr>
      <w:tr w14:paraId="4FF3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763" w:type="dxa"/>
            <w:noWrap w:val="0"/>
            <w:vAlign w:val="center"/>
          </w:tcPr>
          <w:p w14:paraId="63D2D131">
            <w:pPr>
              <w:jc w:val="center"/>
              <w:rPr>
                <w:rFonts w:hint="eastAsia" w:ascii="Times New Roman" w:hAnsi="Times New Roman" w:eastAsia="宋体" w:cs="Times New Roman"/>
                <w:sz w:val="24"/>
                <w:szCs w:val="24"/>
                <w:vertAlign w:val="baseline"/>
                <w:lang w:eastAsia="zh-CN"/>
              </w:rPr>
            </w:pPr>
            <w:r>
              <w:rPr>
                <w:rFonts w:hint="eastAsia" w:cs="Times New Roman"/>
                <w:sz w:val="24"/>
                <w:szCs w:val="24"/>
                <w:vertAlign w:val="baseline"/>
                <w:lang w:eastAsia="zh-CN"/>
              </w:rPr>
              <w:t>服务费</w:t>
            </w:r>
            <w:r>
              <w:rPr>
                <w:rFonts w:hint="eastAsia" w:ascii="Times New Roman" w:hAnsi="Times New Roman" w:eastAsia="宋体" w:cs="Times New Roman"/>
                <w:sz w:val="24"/>
                <w:szCs w:val="24"/>
                <w:vertAlign w:val="baseline"/>
                <w:lang w:eastAsia="zh-CN"/>
              </w:rPr>
              <w:t>报价（含税）</w:t>
            </w:r>
          </w:p>
        </w:tc>
        <w:tc>
          <w:tcPr>
            <w:tcW w:w="4995" w:type="dxa"/>
            <w:noWrap w:val="0"/>
            <w:vAlign w:val="center"/>
          </w:tcPr>
          <w:p w14:paraId="6BDE5A89">
            <w:pPr>
              <w:jc w:val="center"/>
              <w:rPr>
                <w:rFonts w:hint="default" w:ascii="Times New Roman" w:hAnsi="Times New Roman" w:eastAsia="宋体" w:cs="Times New Roman"/>
                <w:sz w:val="24"/>
                <w:szCs w:val="24"/>
                <w:u w:val="single"/>
                <w:vertAlign w:val="baseline"/>
                <w:lang w:val="en-US" w:eastAsia="zh-CN"/>
              </w:rPr>
            </w:pPr>
            <w:r>
              <w:rPr>
                <w:rFonts w:hint="eastAsia" w:cs="Times New Roman"/>
                <w:sz w:val="24"/>
                <w:szCs w:val="24"/>
                <w:u w:val="single"/>
                <w:vertAlign w:val="baseline"/>
                <w:lang w:val="en-US" w:eastAsia="zh-CN"/>
              </w:rPr>
              <w:t xml:space="preserve">       </w:t>
            </w:r>
            <w:r>
              <w:rPr>
                <w:rFonts w:hint="eastAsia" w:cs="Times New Roman"/>
                <w:sz w:val="24"/>
                <w:szCs w:val="24"/>
                <w:u w:val="none"/>
                <w:vertAlign w:val="baseline"/>
                <w:lang w:val="en-US" w:eastAsia="zh-CN"/>
              </w:rPr>
              <w:t>元/年，合计：</w:t>
            </w:r>
            <w:r>
              <w:rPr>
                <w:rFonts w:hint="eastAsia" w:cs="Times New Roman"/>
                <w:sz w:val="24"/>
                <w:szCs w:val="24"/>
                <w:u w:val="single"/>
                <w:vertAlign w:val="baseline"/>
                <w:lang w:val="en-US" w:eastAsia="zh-CN"/>
              </w:rPr>
              <w:t xml:space="preserve">      </w:t>
            </w:r>
            <w:r>
              <w:rPr>
                <w:rFonts w:hint="eastAsia" w:cs="Times New Roman"/>
                <w:sz w:val="24"/>
                <w:szCs w:val="24"/>
                <w:u w:val="none"/>
                <w:vertAlign w:val="baseline"/>
                <w:lang w:val="en-US" w:eastAsia="zh-CN"/>
              </w:rPr>
              <w:t>元/3年</w:t>
            </w:r>
          </w:p>
        </w:tc>
      </w:tr>
      <w:tr w14:paraId="1FAE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763" w:type="dxa"/>
            <w:noWrap w:val="0"/>
            <w:vAlign w:val="center"/>
          </w:tcPr>
          <w:p w14:paraId="120B9EBB">
            <w:pPr>
              <w:jc w:val="center"/>
              <w:rPr>
                <w:rFonts w:hint="eastAsia" w:ascii="Times New Roman" w:hAnsi="Times New Roman" w:eastAsia="宋体" w:cs="Times New Roman"/>
                <w:sz w:val="24"/>
                <w:szCs w:val="24"/>
                <w:vertAlign w:val="baseline"/>
                <w:lang w:eastAsia="zh-CN"/>
              </w:rPr>
            </w:pPr>
            <w:r>
              <w:rPr>
                <w:rFonts w:hint="eastAsia" w:cs="Times New Roman"/>
                <w:sz w:val="24"/>
                <w:szCs w:val="24"/>
                <w:vertAlign w:val="baseline"/>
                <w:lang w:eastAsia="zh-CN"/>
              </w:rPr>
              <w:t>最终报价</w:t>
            </w:r>
          </w:p>
        </w:tc>
        <w:tc>
          <w:tcPr>
            <w:tcW w:w="4995" w:type="dxa"/>
            <w:noWrap w:val="0"/>
            <w:vAlign w:val="center"/>
          </w:tcPr>
          <w:p w14:paraId="334338DE">
            <w:pPr>
              <w:jc w:val="both"/>
              <w:rPr>
                <w:rFonts w:hint="default" w:ascii="Times New Roman" w:hAnsi="Times New Roman" w:eastAsia="宋体" w:cs="Times New Roman"/>
                <w:sz w:val="24"/>
                <w:szCs w:val="24"/>
                <w:vertAlign w:val="baseline"/>
                <w:lang w:val="en-US" w:eastAsia="zh-CN"/>
              </w:rPr>
            </w:pPr>
            <w:r>
              <w:rPr>
                <w:rFonts w:hint="eastAsia" w:cs="Times New Roman"/>
                <w:sz w:val="24"/>
                <w:szCs w:val="24"/>
                <w:vertAlign w:val="baseline"/>
                <w:lang w:val="en-US" w:eastAsia="zh-CN"/>
              </w:rPr>
              <w:t>（现场二次报价）</w:t>
            </w:r>
          </w:p>
        </w:tc>
      </w:tr>
    </w:tbl>
    <w:p w14:paraId="6692510A">
      <w:pPr>
        <w:rPr>
          <w:rFonts w:hint="eastAsia"/>
        </w:rPr>
      </w:pPr>
    </w:p>
    <w:p w14:paraId="64890A62">
      <w:pPr>
        <w:rPr>
          <w:rFonts w:hint="eastAsia"/>
        </w:rPr>
      </w:pPr>
    </w:p>
    <w:p w14:paraId="5484F3B8">
      <w:pPr>
        <w:pStyle w:val="7"/>
        <w:rPr>
          <w:rFonts w:hint="eastAsia" w:ascii="宋体" w:hAnsi="宋体" w:eastAsia="宋体" w:cs="Times New Roman"/>
          <w:sz w:val="24"/>
          <w:lang w:val="en-US" w:eastAsia="zh-CN"/>
        </w:rPr>
      </w:pPr>
      <w:r>
        <w:rPr>
          <w:rFonts w:hint="eastAsia" w:ascii="宋体" w:hAnsi="宋体" w:eastAsia="宋体" w:cs="Times New Roman"/>
          <w:sz w:val="24"/>
          <w:lang w:val="en-US" w:eastAsia="zh-CN"/>
        </w:rPr>
        <w:t>注：以人民币报价。报价包含管理费、人工费、税金等履约过程涉及的所有费用。</w:t>
      </w:r>
    </w:p>
    <w:p w14:paraId="25BE50E9">
      <w:pPr>
        <w:rPr>
          <w:rFonts w:hint="eastAsia"/>
        </w:rPr>
      </w:pPr>
    </w:p>
    <w:p w14:paraId="742DF0F3">
      <w:pPr>
        <w:rPr>
          <w:rFonts w:hint="eastAsia"/>
        </w:rPr>
      </w:pPr>
    </w:p>
    <w:p w14:paraId="45B36AB2">
      <w:pPr>
        <w:pStyle w:val="2"/>
        <w:rPr>
          <w:rFonts w:hint="eastAsia"/>
        </w:rPr>
      </w:pPr>
    </w:p>
    <w:p w14:paraId="6CB2A66D">
      <w:pPr>
        <w:rPr>
          <w:rFonts w:hint="eastAsia"/>
        </w:rPr>
      </w:pPr>
    </w:p>
    <w:p w14:paraId="5D337EB8">
      <w:pPr>
        <w:rPr>
          <w:rFonts w:hint="eastAsia" w:ascii="宋体" w:hAnsi="宋体" w:eastAsia="宋体" w:cs="Times New Roman"/>
          <w:bCs/>
          <w:kern w:val="0"/>
          <w:sz w:val="24"/>
          <w:szCs w:val="24"/>
          <w:lang w:eastAsia="zh-CN"/>
        </w:rPr>
      </w:pPr>
      <w:r>
        <w:rPr>
          <w:rFonts w:hint="eastAsia" w:ascii="宋体" w:hAnsi="宋体" w:eastAsia="宋体" w:cs="Times New Roman"/>
          <w:bCs/>
          <w:kern w:val="0"/>
          <w:sz w:val="24"/>
          <w:szCs w:val="24"/>
          <w:lang w:eastAsia="zh-CN"/>
        </w:rPr>
        <w:t>公司名称（盖章）：</w:t>
      </w:r>
    </w:p>
    <w:p w14:paraId="0198ECE8">
      <w:pPr>
        <w:rPr>
          <w:rFonts w:hint="eastAsia" w:ascii="宋体" w:hAnsi="宋体" w:eastAsia="宋体" w:cs="Times New Roman"/>
          <w:bCs/>
          <w:kern w:val="0"/>
          <w:sz w:val="24"/>
          <w:szCs w:val="24"/>
          <w:lang w:eastAsia="zh-CN"/>
        </w:rPr>
      </w:pPr>
      <w:r>
        <w:rPr>
          <w:rFonts w:hint="eastAsia" w:ascii="宋体" w:hAnsi="宋体" w:eastAsia="宋体" w:cs="Times New Roman"/>
          <w:bCs/>
          <w:kern w:val="0"/>
          <w:sz w:val="24"/>
          <w:szCs w:val="24"/>
          <w:lang w:eastAsia="zh-CN"/>
        </w:rPr>
        <w:t>法定代表或授权代表（签字或盖章）：</w:t>
      </w:r>
    </w:p>
    <w:p w14:paraId="4B8B98C2">
      <w:pPr>
        <w:rPr>
          <w:rFonts w:hint="eastAsia" w:ascii="宋体" w:hAnsi="宋体"/>
          <w:bCs/>
          <w:kern w:val="0"/>
          <w:sz w:val="24"/>
          <w:szCs w:val="24"/>
          <w:lang w:eastAsia="zh-CN"/>
        </w:rPr>
      </w:pPr>
      <w:r>
        <w:rPr>
          <w:rFonts w:hint="eastAsia" w:ascii="宋体" w:hAnsi="宋体"/>
          <w:bCs/>
          <w:kern w:val="0"/>
          <w:sz w:val="24"/>
          <w:szCs w:val="24"/>
          <w:lang w:eastAsia="zh-CN"/>
        </w:rPr>
        <w:t>时间：</w:t>
      </w:r>
    </w:p>
    <w:p w14:paraId="7D0AF1F5">
      <w:pPr>
        <w:pStyle w:val="11"/>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1"/>
        <w:rPr>
          <w:rFonts w:hint="eastAsia" w:ascii="宋体" w:hAnsi="宋体"/>
          <w:bCs/>
          <w:kern w:val="0"/>
          <w:sz w:val="28"/>
          <w:szCs w:val="28"/>
          <w:lang w:eastAsia="zh-CN"/>
        </w:rPr>
      </w:pPr>
    </w:p>
    <w:p w14:paraId="60F98D03">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附件七：技术</w:t>
      </w:r>
      <w:r>
        <w:rPr>
          <w:rFonts w:hint="eastAsia"/>
          <w:sz w:val="24"/>
          <w:szCs w:val="24"/>
          <w:highlight w:val="none"/>
          <w:lang w:val="en-US" w:eastAsia="zh-CN"/>
        </w:rPr>
        <w:t>/</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6"/>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w:t>
      </w:r>
      <w:r>
        <w:rPr>
          <w:rFonts w:hint="eastAsia" w:hAnsi="宋体"/>
          <w:b w:val="0"/>
          <w:bCs w:val="0"/>
          <w:kern w:val="0"/>
          <w:sz w:val="24"/>
          <w:szCs w:val="24"/>
          <w:highlight w:val="none"/>
          <w:lang w:val="en-US" w:eastAsia="zh-CN"/>
        </w:rPr>
        <w:t>/</w:t>
      </w:r>
      <w:r>
        <w:rPr>
          <w:rFonts w:hint="eastAsia" w:hAnsi="宋体"/>
          <w:b w:val="0"/>
          <w:bCs w:val="0"/>
          <w:kern w:val="0"/>
          <w:sz w:val="24"/>
          <w:szCs w:val="24"/>
          <w:highlight w:val="none"/>
        </w:rPr>
        <w:t>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1"/>
        <w:jc w:val="center"/>
        <w:rPr>
          <w:rFonts w:hint="eastAsia"/>
          <w:lang w:eastAsia="zh-CN"/>
        </w:rPr>
      </w:pPr>
    </w:p>
    <w:p w14:paraId="51E1EB93">
      <w:pPr>
        <w:rPr>
          <w:rFonts w:hint="eastAsia"/>
        </w:rPr>
      </w:pPr>
    </w:p>
    <w:p w14:paraId="460BEC00">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附件八：拟投入该项目人员名单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1C27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58EF9DF">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类别</w:t>
            </w:r>
          </w:p>
        </w:tc>
        <w:tc>
          <w:tcPr>
            <w:tcW w:w="909" w:type="dxa"/>
            <w:vMerge w:val="restart"/>
            <w:noWrap w:val="0"/>
            <w:vAlign w:val="center"/>
          </w:tcPr>
          <w:p w14:paraId="6EE0B90D">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职务</w:t>
            </w:r>
          </w:p>
        </w:tc>
        <w:tc>
          <w:tcPr>
            <w:tcW w:w="908" w:type="dxa"/>
            <w:vMerge w:val="restart"/>
            <w:noWrap w:val="0"/>
            <w:vAlign w:val="center"/>
          </w:tcPr>
          <w:p w14:paraId="219321B2">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姓名</w:t>
            </w:r>
          </w:p>
        </w:tc>
        <w:tc>
          <w:tcPr>
            <w:tcW w:w="908" w:type="dxa"/>
            <w:vMerge w:val="restart"/>
            <w:noWrap w:val="0"/>
            <w:vAlign w:val="center"/>
          </w:tcPr>
          <w:p w14:paraId="1108A6CB">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职称</w:t>
            </w:r>
          </w:p>
        </w:tc>
        <w:tc>
          <w:tcPr>
            <w:tcW w:w="1177" w:type="dxa"/>
            <w:vMerge w:val="restart"/>
            <w:noWrap w:val="0"/>
            <w:vAlign w:val="center"/>
          </w:tcPr>
          <w:p w14:paraId="27760487">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常住地</w:t>
            </w:r>
          </w:p>
        </w:tc>
        <w:tc>
          <w:tcPr>
            <w:tcW w:w="3545" w:type="dxa"/>
            <w:gridSpan w:val="4"/>
            <w:noWrap w:val="0"/>
            <w:vAlign w:val="center"/>
          </w:tcPr>
          <w:p w14:paraId="0A725955">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资格证明</w:t>
            </w:r>
          </w:p>
        </w:tc>
      </w:tr>
      <w:tr w14:paraId="671A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04033E">
            <w:pPr>
              <w:spacing w:line="360" w:lineRule="auto"/>
              <w:jc w:val="center"/>
              <w:rPr>
                <w:rFonts w:hint="eastAsia" w:asciiTheme="minorEastAsia" w:hAnsiTheme="minorEastAsia" w:eastAsiaTheme="minorEastAsia" w:cstheme="minorEastAsia"/>
                <w:sz w:val="18"/>
                <w:szCs w:val="18"/>
              </w:rPr>
            </w:pPr>
          </w:p>
        </w:tc>
        <w:tc>
          <w:tcPr>
            <w:tcW w:w="909" w:type="dxa"/>
            <w:vMerge w:val="continue"/>
            <w:noWrap w:val="0"/>
            <w:vAlign w:val="center"/>
          </w:tcPr>
          <w:p w14:paraId="1CCA54CB">
            <w:pPr>
              <w:spacing w:line="360" w:lineRule="auto"/>
              <w:jc w:val="center"/>
              <w:rPr>
                <w:rFonts w:hint="eastAsia" w:asciiTheme="minorEastAsia" w:hAnsiTheme="minorEastAsia" w:eastAsiaTheme="minorEastAsia" w:cstheme="minorEastAsia"/>
                <w:sz w:val="18"/>
                <w:szCs w:val="18"/>
              </w:rPr>
            </w:pPr>
          </w:p>
        </w:tc>
        <w:tc>
          <w:tcPr>
            <w:tcW w:w="908" w:type="dxa"/>
            <w:vMerge w:val="continue"/>
            <w:noWrap w:val="0"/>
            <w:vAlign w:val="center"/>
          </w:tcPr>
          <w:p w14:paraId="43744E5C">
            <w:pPr>
              <w:spacing w:line="360" w:lineRule="auto"/>
              <w:jc w:val="center"/>
              <w:rPr>
                <w:rFonts w:hint="eastAsia" w:asciiTheme="minorEastAsia" w:hAnsiTheme="minorEastAsia" w:eastAsiaTheme="minorEastAsia" w:cstheme="minorEastAsia"/>
                <w:sz w:val="18"/>
                <w:szCs w:val="18"/>
              </w:rPr>
            </w:pPr>
          </w:p>
        </w:tc>
        <w:tc>
          <w:tcPr>
            <w:tcW w:w="908" w:type="dxa"/>
            <w:vMerge w:val="continue"/>
            <w:noWrap w:val="0"/>
            <w:vAlign w:val="center"/>
          </w:tcPr>
          <w:p w14:paraId="169B088E">
            <w:pPr>
              <w:spacing w:line="360" w:lineRule="auto"/>
              <w:jc w:val="center"/>
              <w:rPr>
                <w:rFonts w:hint="eastAsia" w:asciiTheme="minorEastAsia" w:hAnsiTheme="minorEastAsia" w:eastAsiaTheme="minorEastAsia" w:cstheme="minorEastAsia"/>
                <w:sz w:val="18"/>
                <w:szCs w:val="18"/>
              </w:rPr>
            </w:pPr>
          </w:p>
        </w:tc>
        <w:tc>
          <w:tcPr>
            <w:tcW w:w="1177" w:type="dxa"/>
            <w:vMerge w:val="continue"/>
            <w:noWrap w:val="0"/>
            <w:vAlign w:val="center"/>
          </w:tcPr>
          <w:p w14:paraId="140935FC">
            <w:pPr>
              <w:spacing w:line="360" w:lineRule="auto"/>
              <w:jc w:val="center"/>
              <w:rPr>
                <w:rFonts w:hint="eastAsia" w:asciiTheme="minorEastAsia" w:hAnsiTheme="minorEastAsia" w:eastAsiaTheme="minorEastAsia" w:cstheme="minorEastAsia"/>
                <w:sz w:val="18"/>
                <w:szCs w:val="18"/>
              </w:rPr>
            </w:pPr>
          </w:p>
        </w:tc>
        <w:tc>
          <w:tcPr>
            <w:tcW w:w="1286" w:type="dxa"/>
            <w:noWrap w:val="0"/>
            <w:vAlign w:val="center"/>
          </w:tcPr>
          <w:p w14:paraId="1E9CFF40">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证书名称</w:t>
            </w:r>
          </w:p>
        </w:tc>
        <w:tc>
          <w:tcPr>
            <w:tcW w:w="714" w:type="dxa"/>
            <w:noWrap w:val="0"/>
            <w:vAlign w:val="center"/>
          </w:tcPr>
          <w:p w14:paraId="5AF428F2">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级别</w:t>
            </w:r>
          </w:p>
        </w:tc>
        <w:tc>
          <w:tcPr>
            <w:tcW w:w="721" w:type="dxa"/>
            <w:noWrap w:val="0"/>
            <w:vAlign w:val="center"/>
          </w:tcPr>
          <w:p w14:paraId="3AC4DEE4">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证号</w:t>
            </w:r>
          </w:p>
        </w:tc>
        <w:tc>
          <w:tcPr>
            <w:tcW w:w="824" w:type="dxa"/>
            <w:noWrap w:val="0"/>
            <w:vAlign w:val="center"/>
          </w:tcPr>
          <w:p w14:paraId="715638D7">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w:t>
            </w:r>
          </w:p>
        </w:tc>
      </w:tr>
      <w:tr w14:paraId="732C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55E115A">
            <w:pPr>
              <w:spacing w:line="360" w:lineRule="auto"/>
              <w:jc w:val="center"/>
              <w:rPr>
                <w:rFonts w:hint="eastAsia" w:asciiTheme="minorEastAsia" w:hAnsiTheme="minorEastAsia" w:eastAsiaTheme="minorEastAsia" w:cstheme="minorEastAsia"/>
                <w:sz w:val="18"/>
                <w:szCs w:val="18"/>
              </w:rPr>
            </w:pPr>
          </w:p>
        </w:tc>
        <w:tc>
          <w:tcPr>
            <w:tcW w:w="909" w:type="dxa"/>
            <w:noWrap w:val="0"/>
            <w:vAlign w:val="center"/>
          </w:tcPr>
          <w:p w14:paraId="168E4E40">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68BDB47F">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7AD03DA4">
            <w:pPr>
              <w:spacing w:line="360" w:lineRule="auto"/>
              <w:jc w:val="center"/>
              <w:rPr>
                <w:rFonts w:hint="eastAsia" w:asciiTheme="minorEastAsia" w:hAnsiTheme="minorEastAsia" w:eastAsiaTheme="minorEastAsia" w:cstheme="minorEastAsia"/>
                <w:sz w:val="18"/>
                <w:szCs w:val="18"/>
              </w:rPr>
            </w:pPr>
          </w:p>
        </w:tc>
        <w:tc>
          <w:tcPr>
            <w:tcW w:w="1177" w:type="dxa"/>
            <w:noWrap w:val="0"/>
            <w:vAlign w:val="center"/>
          </w:tcPr>
          <w:p w14:paraId="5C68B500">
            <w:pPr>
              <w:spacing w:line="360" w:lineRule="auto"/>
              <w:jc w:val="center"/>
              <w:rPr>
                <w:rFonts w:hint="eastAsia" w:asciiTheme="minorEastAsia" w:hAnsiTheme="minorEastAsia" w:eastAsiaTheme="minorEastAsia" w:cstheme="minorEastAsia"/>
                <w:sz w:val="18"/>
                <w:szCs w:val="18"/>
              </w:rPr>
            </w:pPr>
          </w:p>
        </w:tc>
        <w:tc>
          <w:tcPr>
            <w:tcW w:w="1286" w:type="dxa"/>
            <w:noWrap w:val="0"/>
            <w:vAlign w:val="center"/>
          </w:tcPr>
          <w:p w14:paraId="2CF34D6A">
            <w:pPr>
              <w:spacing w:line="360" w:lineRule="auto"/>
              <w:jc w:val="center"/>
              <w:rPr>
                <w:rFonts w:hint="eastAsia" w:asciiTheme="minorEastAsia" w:hAnsiTheme="minorEastAsia" w:eastAsiaTheme="minorEastAsia" w:cstheme="minorEastAsia"/>
                <w:sz w:val="18"/>
                <w:szCs w:val="18"/>
              </w:rPr>
            </w:pPr>
          </w:p>
        </w:tc>
        <w:tc>
          <w:tcPr>
            <w:tcW w:w="714" w:type="dxa"/>
            <w:noWrap w:val="0"/>
            <w:vAlign w:val="center"/>
          </w:tcPr>
          <w:p w14:paraId="02FB1E2D">
            <w:pPr>
              <w:spacing w:line="360" w:lineRule="auto"/>
              <w:jc w:val="center"/>
              <w:rPr>
                <w:rFonts w:hint="eastAsia" w:asciiTheme="minorEastAsia" w:hAnsiTheme="minorEastAsia" w:eastAsiaTheme="minorEastAsia" w:cstheme="minorEastAsia"/>
                <w:sz w:val="18"/>
                <w:szCs w:val="18"/>
              </w:rPr>
            </w:pPr>
          </w:p>
        </w:tc>
        <w:tc>
          <w:tcPr>
            <w:tcW w:w="721" w:type="dxa"/>
            <w:noWrap w:val="0"/>
            <w:vAlign w:val="center"/>
          </w:tcPr>
          <w:p w14:paraId="692467D7">
            <w:pPr>
              <w:spacing w:line="360" w:lineRule="auto"/>
              <w:jc w:val="center"/>
              <w:rPr>
                <w:rFonts w:hint="eastAsia" w:asciiTheme="minorEastAsia" w:hAnsiTheme="minorEastAsia" w:eastAsiaTheme="minorEastAsia" w:cstheme="minorEastAsia"/>
                <w:sz w:val="18"/>
                <w:szCs w:val="18"/>
              </w:rPr>
            </w:pPr>
          </w:p>
        </w:tc>
        <w:tc>
          <w:tcPr>
            <w:tcW w:w="824" w:type="dxa"/>
            <w:noWrap w:val="0"/>
            <w:vAlign w:val="center"/>
          </w:tcPr>
          <w:p w14:paraId="4BD6B5C3">
            <w:pPr>
              <w:spacing w:line="360" w:lineRule="auto"/>
              <w:jc w:val="center"/>
              <w:rPr>
                <w:rFonts w:hint="eastAsia" w:asciiTheme="minorEastAsia" w:hAnsiTheme="minorEastAsia" w:eastAsiaTheme="minorEastAsia" w:cstheme="minorEastAsia"/>
                <w:sz w:val="18"/>
                <w:szCs w:val="18"/>
              </w:rPr>
            </w:pPr>
          </w:p>
        </w:tc>
      </w:tr>
      <w:tr w14:paraId="6DEE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EE882CA">
            <w:pPr>
              <w:spacing w:line="360" w:lineRule="auto"/>
              <w:jc w:val="center"/>
              <w:rPr>
                <w:rFonts w:hint="eastAsia" w:asciiTheme="minorEastAsia" w:hAnsiTheme="minorEastAsia" w:eastAsiaTheme="minorEastAsia" w:cstheme="minorEastAsia"/>
                <w:sz w:val="18"/>
                <w:szCs w:val="18"/>
              </w:rPr>
            </w:pPr>
          </w:p>
        </w:tc>
        <w:tc>
          <w:tcPr>
            <w:tcW w:w="909" w:type="dxa"/>
            <w:noWrap w:val="0"/>
            <w:vAlign w:val="center"/>
          </w:tcPr>
          <w:p w14:paraId="0BC0131C">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7DDAD343">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5DD8B6C6">
            <w:pPr>
              <w:spacing w:line="360" w:lineRule="auto"/>
              <w:jc w:val="center"/>
              <w:rPr>
                <w:rFonts w:hint="eastAsia" w:asciiTheme="minorEastAsia" w:hAnsiTheme="minorEastAsia" w:eastAsiaTheme="minorEastAsia" w:cstheme="minorEastAsia"/>
                <w:sz w:val="18"/>
                <w:szCs w:val="18"/>
              </w:rPr>
            </w:pPr>
          </w:p>
        </w:tc>
        <w:tc>
          <w:tcPr>
            <w:tcW w:w="1177" w:type="dxa"/>
            <w:noWrap w:val="0"/>
            <w:vAlign w:val="center"/>
          </w:tcPr>
          <w:p w14:paraId="4ACDBEC5">
            <w:pPr>
              <w:spacing w:line="360" w:lineRule="auto"/>
              <w:jc w:val="center"/>
              <w:rPr>
                <w:rFonts w:hint="eastAsia" w:asciiTheme="minorEastAsia" w:hAnsiTheme="minorEastAsia" w:eastAsiaTheme="minorEastAsia" w:cstheme="minorEastAsia"/>
                <w:sz w:val="18"/>
                <w:szCs w:val="18"/>
              </w:rPr>
            </w:pPr>
          </w:p>
        </w:tc>
        <w:tc>
          <w:tcPr>
            <w:tcW w:w="1286" w:type="dxa"/>
            <w:noWrap w:val="0"/>
            <w:vAlign w:val="center"/>
          </w:tcPr>
          <w:p w14:paraId="7B2E936D">
            <w:pPr>
              <w:spacing w:line="360" w:lineRule="auto"/>
              <w:jc w:val="center"/>
              <w:rPr>
                <w:rFonts w:hint="eastAsia" w:asciiTheme="minorEastAsia" w:hAnsiTheme="minorEastAsia" w:eastAsiaTheme="minorEastAsia" w:cstheme="minorEastAsia"/>
                <w:sz w:val="18"/>
                <w:szCs w:val="18"/>
              </w:rPr>
            </w:pPr>
          </w:p>
        </w:tc>
        <w:tc>
          <w:tcPr>
            <w:tcW w:w="714" w:type="dxa"/>
            <w:noWrap w:val="0"/>
            <w:vAlign w:val="center"/>
          </w:tcPr>
          <w:p w14:paraId="32F18ABD">
            <w:pPr>
              <w:spacing w:line="360" w:lineRule="auto"/>
              <w:jc w:val="center"/>
              <w:rPr>
                <w:rFonts w:hint="eastAsia" w:asciiTheme="minorEastAsia" w:hAnsiTheme="minorEastAsia" w:eastAsiaTheme="minorEastAsia" w:cstheme="minorEastAsia"/>
                <w:sz w:val="18"/>
                <w:szCs w:val="18"/>
              </w:rPr>
            </w:pPr>
          </w:p>
        </w:tc>
        <w:tc>
          <w:tcPr>
            <w:tcW w:w="721" w:type="dxa"/>
            <w:noWrap w:val="0"/>
            <w:vAlign w:val="center"/>
          </w:tcPr>
          <w:p w14:paraId="346EA823">
            <w:pPr>
              <w:spacing w:line="360" w:lineRule="auto"/>
              <w:jc w:val="center"/>
              <w:rPr>
                <w:rFonts w:hint="eastAsia" w:asciiTheme="minorEastAsia" w:hAnsiTheme="minorEastAsia" w:eastAsiaTheme="minorEastAsia" w:cstheme="minorEastAsia"/>
                <w:sz w:val="18"/>
                <w:szCs w:val="18"/>
              </w:rPr>
            </w:pPr>
          </w:p>
        </w:tc>
        <w:tc>
          <w:tcPr>
            <w:tcW w:w="824" w:type="dxa"/>
            <w:noWrap w:val="0"/>
            <w:vAlign w:val="center"/>
          </w:tcPr>
          <w:p w14:paraId="19E5E8B0">
            <w:pPr>
              <w:spacing w:line="360" w:lineRule="auto"/>
              <w:jc w:val="center"/>
              <w:rPr>
                <w:rFonts w:hint="eastAsia" w:asciiTheme="minorEastAsia" w:hAnsiTheme="minorEastAsia" w:eastAsiaTheme="minorEastAsia" w:cstheme="minorEastAsia"/>
                <w:sz w:val="18"/>
                <w:szCs w:val="18"/>
              </w:rPr>
            </w:pPr>
          </w:p>
        </w:tc>
      </w:tr>
      <w:tr w14:paraId="238D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6FAE959D">
            <w:pPr>
              <w:spacing w:line="360" w:lineRule="auto"/>
              <w:jc w:val="center"/>
              <w:rPr>
                <w:rFonts w:hint="eastAsia" w:asciiTheme="minorEastAsia" w:hAnsiTheme="minorEastAsia" w:eastAsiaTheme="minorEastAsia" w:cstheme="minorEastAsia"/>
                <w:sz w:val="18"/>
                <w:szCs w:val="18"/>
              </w:rPr>
            </w:pPr>
          </w:p>
        </w:tc>
        <w:tc>
          <w:tcPr>
            <w:tcW w:w="909" w:type="dxa"/>
            <w:noWrap w:val="0"/>
            <w:vAlign w:val="center"/>
          </w:tcPr>
          <w:p w14:paraId="12EA4CD0">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015AF198">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2D06D1B0">
            <w:pPr>
              <w:spacing w:line="360" w:lineRule="auto"/>
              <w:jc w:val="center"/>
              <w:rPr>
                <w:rFonts w:hint="eastAsia" w:asciiTheme="minorEastAsia" w:hAnsiTheme="minorEastAsia" w:eastAsiaTheme="minorEastAsia" w:cstheme="minorEastAsia"/>
                <w:sz w:val="18"/>
                <w:szCs w:val="18"/>
              </w:rPr>
            </w:pPr>
          </w:p>
        </w:tc>
        <w:tc>
          <w:tcPr>
            <w:tcW w:w="1177" w:type="dxa"/>
            <w:noWrap w:val="0"/>
            <w:vAlign w:val="center"/>
          </w:tcPr>
          <w:p w14:paraId="2E2FB1D8">
            <w:pPr>
              <w:spacing w:line="360" w:lineRule="auto"/>
              <w:jc w:val="center"/>
              <w:rPr>
                <w:rFonts w:hint="eastAsia" w:asciiTheme="minorEastAsia" w:hAnsiTheme="minorEastAsia" w:eastAsiaTheme="minorEastAsia" w:cstheme="minorEastAsia"/>
                <w:sz w:val="18"/>
                <w:szCs w:val="18"/>
              </w:rPr>
            </w:pPr>
          </w:p>
        </w:tc>
        <w:tc>
          <w:tcPr>
            <w:tcW w:w="1286" w:type="dxa"/>
            <w:noWrap w:val="0"/>
            <w:vAlign w:val="center"/>
          </w:tcPr>
          <w:p w14:paraId="1DB4BD39">
            <w:pPr>
              <w:spacing w:line="360" w:lineRule="auto"/>
              <w:jc w:val="center"/>
              <w:rPr>
                <w:rFonts w:hint="eastAsia" w:asciiTheme="minorEastAsia" w:hAnsiTheme="minorEastAsia" w:eastAsiaTheme="minorEastAsia" w:cstheme="minorEastAsia"/>
                <w:sz w:val="18"/>
                <w:szCs w:val="18"/>
              </w:rPr>
            </w:pPr>
          </w:p>
        </w:tc>
        <w:tc>
          <w:tcPr>
            <w:tcW w:w="714" w:type="dxa"/>
            <w:noWrap w:val="0"/>
            <w:vAlign w:val="center"/>
          </w:tcPr>
          <w:p w14:paraId="15B6F8D0">
            <w:pPr>
              <w:spacing w:line="360" w:lineRule="auto"/>
              <w:jc w:val="center"/>
              <w:rPr>
                <w:rFonts w:hint="eastAsia" w:asciiTheme="minorEastAsia" w:hAnsiTheme="minorEastAsia" w:eastAsiaTheme="minorEastAsia" w:cstheme="minorEastAsia"/>
                <w:sz w:val="18"/>
                <w:szCs w:val="18"/>
              </w:rPr>
            </w:pPr>
          </w:p>
        </w:tc>
        <w:tc>
          <w:tcPr>
            <w:tcW w:w="721" w:type="dxa"/>
            <w:noWrap w:val="0"/>
            <w:vAlign w:val="center"/>
          </w:tcPr>
          <w:p w14:paraId="17361273">
            <w:pPr>
              <w:spacing w:line="360" w:lineRule="auto"/>
              <w:jc w:val="center"/>
              <w:rPr>
                <w:rFonts w:hint="eastAsia" w:asciiTheme="minorEastAsia" w:hAnsiTheme="minorEastAsia" w:eastAsiaTheme="minorEastAsia" w:cstheme="minorEastAsia"/>
                <w:sz w:val="18"/>
                <w:szCs w:val="18"/>
              </w:rPr>
            </w:pPr>
          </w:p>
        </w:tc>
        <w:tc>
          <w:tcPr>
            <w:tcW w:w="824" w:type="dxa"/>
            <w:noWrap w:val="0"/>
            <w:vAlign w:val="center"/>
          </w:tcPr>
          <w:p w14:paraId="182F1864">
            <w:pPr>
              <w:spacing w:line="360" w:lineRule="auto"/>
              <w:jc w:val="center"/>
              <w:rPr>
                <w:rFonts w:hint="eastAsia" w:asciiTheme="minorEastAsia" w:hAnsiTheme="minorEastAsia" w:eastAsiaTheme="minorEastAsia" w:cstheme="minorEastAsia"/>
                <w:sz w:val="18"/>
                <w:szCs w:val="18"/>
              </w:rPr>
            </w:pPr>
          </w:p>
        </w:tc>
      </w:tr>
      <w:tr w14:paraId="6356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6B497720">
            <w:pPr>
              <w:spacing w:line="360" w:lineRule="auto"/>
              <w:jc w:val="center"/>
              <w:rPr>
                <w:rFonts w:hint="eastAsia" w:asciiTheme="minorEastAsia" w:hAnsiTheme="minorEastAsia" w:eastAsiaTheme="minorEastAsia" w:cstheme="minorEastAsia"/>
                <w:sz w:val="18"/>
                <w:szCs w:val="18"/>
              </w:rPr>
            </w:pPr>
          </w:p>
        </w:tc>
        <w:tc>
          <w:tcPr>
            <w:tcW w:w="909" w:type="dxa"/>
            <w:noWrap w:val="0"/>
            <w:vAlign w:val="center"/>
          </w:tcPr>
          <w:p w14:paraId="09308A47">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2F1742A2">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14FF3F77">
            <w:pPr>
              <w:spacing w:line="360" w:lineRule="auto"/>
              <w:jc w:val="center"/>
              <w:rPr>
                <w:rFonts w:hint="eastAsia" w:asciiTheme="minorEastAsia" w:hAnsiTheme="minorEastAsia" w:eastAsiaTheme="minorEastAsia" w:cstheme="minorEastAsia"/>
                <w:sz w:val="18"/>
                <w:szCs w:val="18"/>
              </w:rPr>
            </w:pPr>
          </w:p>
        </w:tc>
        <w:tc>
          <w:tcPr>
            <w:tcW w:w="1177" w:type="dxa"/>
            <w:noWrap w:val="0"/>
            <w:vAlign w:val="center"/>
          </w:tcPr>
          <w:p w14:paraId="1B8AEFC1">
            <w:pPr>
              <w:spacing w:line="360" w:lineRule="auto"/>
              <w:jc w:val="center"/>
              <w:rPr>
                <w:rFonts w:hint="eastAsia" w:asciiTheme="minorEastAsia" w:hAnsiTheme="minorEastAsia" w:eastAsiaTheme="minorEastAsia" w:cstheme="minorEastAsia"/>
                <w:sz w:val="18"/>
                <w:szCs w:val="18"/>
              </w:rPr>
            </w:pPr>
          </w:p>
        </w:tc>
        <w:tc>
          <w:tcPr>
            <w:tcW w:w="1286" w:type="dxa"/>
            <w:noWrap w:val="0"/>
            <w:vAlign w:val="center"/>
          </w:tcPr>
          <w:p w14:paraId="5CD66B96">
            <w:pPr>
              <w:spacing w:line="360" w:lineRule="auto"/>
              <w:jc w:val="center"/>
              <w:rPr>
                <w:rFonts w:hint="eastAsia" w:asciiTheme="minorEastAsia" w:hAnsiTheme="minorEastAsia" w:eastAsiaTheme="minorEastAsia" w:cstheme="minorEastAsia"/>
                <w:sz w:val="18"/>
                <w:szCs w:val="18"/>
              </w:rPr>
            </w:pPr>
          </w:p>
        </w:tc>
        <w:tc>
          <w:tcPr>
            <w:tcW w:w="714" w:type="dxa"/>
            <w:noWrap w:val="0"/>
            <w:vAlign w:val="center"/>
          </w:tcPr>
          <w:p w14:paraId="0962FCCA">
            <w:pPr>
              <w:spacing w:line="360" w:lineRule="auto"/>
              <w:jc w:val="center"/>
              <w:rPr>
                <w:rFonts w:hint="eastAsia" w:asciiTheme="minorEastAsia" w:hAnsiTheme="minorEastAsia" w:eastAsiaTheme="minorEastAsia" w:cstheme="minorEastAsia"/>
                <w:sz w:val="18"/>
                <w:szCs w:val="18"/>
              </w:rPr>
            </w:pPr>
          </w:p>
        </w:tc>
        <w:tc>
          <w:tcPr>
            <w:tcW w:w="721" w:type="dxa"/>
            <w:noWrap w:val="0"/>
            <w:vAlign w:val="center"/>
          </w:tcPr>
          <w:p w14:paraId="6A95ACF3">
            <w:pPr>
              <w:spacing w:line="360" w:lineRule="auto"/>
              <w:jc w:val="center"/>
              <w:rPr>
                <w:rFonts w:hint="eastAsia" w:asciiTheme="minorEastAsia" w:hAnsiTheme="minorEastAsia" w:eastAsiaTheme="minorEastAsia" w:cstheme="minorEastAsia"/>
                <w:sz w:val="18"/>
                <w:szCs w:val="18"/>
              </w:rPr>
            </w:pPr>
          </w:p>
        </w:tc>
        <w:tc>
          <w:tcPr>
            <w:tcW w:w="824" w:type="dxa"/>
            <w:noWrap w:val="0"/>
            <w:vAlign w:val="center"/>
          </w:tcPr>
          <w:p w14:paraId="3A24969C">
            <w:pPr>
              <w:spacing w:line="360" w:lineRule="auto"/>
              <w:jc w:val="center"/>
              <w:rPr>
                <w:rFonts w:hint="eastAsia" w:asciiTheme="minorEastAsia" w:hAnsiTheme="minorEastAsia" w:eastAsiaTheme="minorEastAsia" w:cstheme="minorEastAsia"/>
                <w:sz w:val="18"/>
                <w:szCs w:val="18"/>
              </w:rPr>
            </w:pPr>
          </w:p>
        </w:tc>
      </w:tr>
      <w:tr w14:paraId="526C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CC698DD">
            <w:pPr>
              <w:spacing w:line="360" w:lineRule="auto"/>
              <w:jc w:val="center"/>
              <w:rPr>
                <w:rFonts w:hint="eastAsia" w:asciiTheme="minorEastAsia" w:hAnsiTheme="minorEastAsia" w:eastAsiaTheme="minorEastAsia" w:cstheme="minorEastAsia"/>
                <w:sz w:val="18"/>
                <w:szCs w:val="18"/>
              </w:rPr>
            </w:pPr>
          </w:p>
        </w:tc>
        <w:tc>
          <w:tcPr>
            <w:tcW w:w="909" w:type="dxa"/>
            <w:noWrap w:val="0"/>
            <w:vAlign w:val="center"/>
          </w:tcPr>
          <w:p w14:paraId="629308C6">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21AFB43A">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445F3203">
            <w:pPr>
              <w:spacing w:line="360" w:lineRule="auto"/>
              <w:jc w:val="center"/>
              <w:rPr>
                <w:rFonts w:hint="eastAsia" w:asciiTheme="minorEastAsia" w:hAnsiTheme="minorEastAsia" w:eastAsiaTheme="minorEastAsia" w:cstheme="minorEastAsia"/>
                <w:sz w:val="18"/>
                <w:szCs w:val="18"/>
              </w:rPr>
            </w:pPr>
          </w:p>
        </w:tc>
        <w:tc>
          <w:tcPr>
            <w:tcW w:w="1177" w:type="dxa"/>
            <w:noWrap w:val="0"/>
            <w:vAlign w:val="center"/>
          </w:tcPr>
          <w:p w14:paraId="1CB03039">
            <w:pPr>
              <w:spacing w:line="360" w:lineRule="auto"/>
              <w:jc w:val="center"/>
              <w:rPr>
                <w:rFonts w:hint="eastAsia" w:asciiTheme="minorEastAsia" w:hAnsiTheme="minorEastAsia" w:eastAsiaTheme="minorEastAsia" w:cstheme="minorEastAsia"/>
                <w:sz w:val="18"/>
                <w:szCs w:val="18"/>
              </w:rPr>
            </w:pPr>
          </w:p>
        </w:tc>
        <w:tc>
          <w:tcPr>
            <w:tcW w:w="1286" w:type="dxa"/>
            <w:noWrap w:val="0"/>
            <w:vAlign w:val="center"/>
          </w:tcPr>
          <w:p w14:paraId="798A4041">
            <w:pPr>
              <w:spacing w:line="360" w:lineRule="auto"/>
              <w:jc w:val="center"/>
              <w:rPr>
                <w:rFonts w:hint="eastAsia" w:asciiTheme="minorEastAsia" w:hAnsiTheme="minorEastAsia" w:eastAsiaTheme="minorEastAsia" w:cstheme="minorEastAsia"/>
                <w:sz w:val="18"/>
                <w:szCs w:val="18"/>
              </w:rPr>
            </w:pPr>
          </w:p>
        </w:tc>
        <w:tc>
          <w:tcPr>
            <w:tcW w:w="714" w:type="dxa"/>
            <w:noWrap w:val="0"/>
            <w:vAlign w:val="center"/>
          </w:tcPr>
          <w:p w14:paraId="522347AB">
            <w:pPr>
              <w:spacing w:line="360" w:lineRule="auto"/>
              <w:jc w:val="center"/>
              <w:rPr>
                <w:rFonts w:hint="eastAsia" w:asciiTheme="minorEastAsia" w:hAnsiTheme="minorEastAsia" w:eastAsiaTheme="minorEastAsia" w:cstheme="minorEastAsia"/>
                <w:sz w:val="18"/>
                <w:szCs w:val="18"/>
              </w:rPr>
            </w:pPr>
          </w:p>
        </w:tc>
        <w:tc>
          <w:tcPr>
            <w:tcW w:w="721" w:type="dxa"/>
            <w:noWrap w:val="0"/>
            <w:vAlign w:val="center"/>
          </w:tcPr>
          <w:p w14:paraId="17299D3E">
            <w:pPr>
              <w:spacing w:line="360" w:lineRule="auto"/>
              <w:jc w:val="center"/>
              <w:rPr>
                <w:rFonts w:hint="eastAsia" w:asciiTheme="minorEastAsia" w:hAnsiTheme="minorEastAsia" w:eastAsiaTheme="minorEastAsia" w:cstheme="minorEastAsia"/>
                <w:sz w:val="18"/>
                <w:szCs w:val="18"/>
              </w:rPr>
            </w:pPr>
          </w:p>
        </w:tc>
        <w:tc>
          <w:tcPr>
            <w:tcW w:w="824" w:type="dxa"/>
            <w:noWrap w:val="0"/>
            <w:vAlign w:val="center"/>
          </w:tcPr>
          <w:p w14:paraId="75636BB6">
            <w:pPr>
              <w:spacing w:line="360" w:lineRule="auto"/>
              <w:jc w:val="center"/>
              <w:rPr>
                <w:rFonts w:hint="eastAsia" w:asciiTheme="minorEastAsia" w:hAnsiTheme="minorEastAsia" w:eastAsiaTheme="minorEastAsia" w:cstheme="minorEastAsia"/>
                <w:sz w:val="18"/>
                <w:szCs w:val="18"/>
              </w:rPr>
            </w:pPr>
          </w:p>
        </w:tc>
      </w:tr>
      <w:tr w14:paraId="47D5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0D677BA9">
            <w:pPr>
              <w:spacing w:line="360" w:lineRule="auto"/>
              <w:jc w:val="center"/>
              <w:rPr>
                <w:rFonts w:hint="eastAsia" w:asciiTheme="minorEastAsia" w:hAnsiTheme="minorEastAsia" w:eastAsiaTheme="minorEastAsia" w:cstheme="minorEastAsia"/>
                <w:sz w:val="18"/>
                <w:szCs w:val="18"/>
              </w:rPr>
            </w:pPr>
          </w:p>
        </w:tc>
        <w:tc>
          <w:tcPr>
            <w:tcW w:w="909" w:type="dxa"/>
            <w:noWrap w:val="0"/>
            <w:vAlign w:val="center"/>
          </w:tcPr>
          <w:p w14:paraId="66B9420A">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13C3856C">
            <w:pPr>
              <w:spacing w:line="360" w:lineRule="auto"/>
              <w:jc w:val="center"/>
              <w:rPr>
                <w:rFonts w:hint="eastAsia" w:asciiTheme="minorEastAsia" w:hAnsiTheme="minorEastAsia" w:eastAsiaTheme="minorEastAsia" w:cstheme="minorEastAsia"/>
                <w:sz w:val="18"/>
                <w:szCs w:val="18"/>
              </w:rPr>
            </w:pPr>
          </w:p>
        </w:tc>
        <w:tc>
          <w:tcPr>
            <w:tcW w:w="908" w:type="dxa"/>
            <w:noWrap w:val="0"/>
            <w:vAlign w:val="center"/>
          </w:tcPr>
          <w:p w14:paraId="2869CB64">
            <w:pPr>
              <w:spacing w:line="360" w:lineRule="auto"/>
              <w:jc w:val="center"/>
              <w:rPr>
                <w:rFonts w:hint="eastAsia" w:asciiTheme="minorEastAsia" w:hAnsiTheme="minorEastAsia" w:eastAsiaTheme="minorEastAsia" w:cstheme="minorEastAsia"/>
                <w:sz w:val="18"/>
                <w:szCs w:val="18"/>
              </w:rPr>
            </w:pPr>
          </w:p>
        </w:tc>
        <w:tc>
          <w:tcPr>
            <w:tcW w:w="1177" w:type="dxa"/>
            <w:noWrap w:val="0"/>
            <w:vAlign w:val="center"/>
          </w:tcPr>
          <w:p w14:paraId="00EBEF56">
            <w:pPr>
              <w:spacing w:line="360" w:lineRule="auto"/>
              <w:jc w:val="center"/>
              <w:rPr>
                <w:rFonts w:hint="eastAsia" w:asciiTheme="minorEastAsia" w:hAnsiTheme="minorEastAsia" w:eastAsiaTheme="minorEastAsia" w:cstheme="minorEastAsia"/>
                <w:sz w:val="18"/>
                <w:szCs w:val="18"/>
              </w:rPr>
            </w:pPr>
          </w:p>
        </w:tc>
        <w:tc>
          <w:tcPr>
            <w:tcW w:w="1286" w:type="dxa"/>
            <w:noWrap w:val="0"/>
            <w:vAlign w:val="center"/>
          </w:tcPr>
          <w:p w14:paraId="4F816A3F">
            <w:pPr>
              <w:spacing w:line="360" w:lineRule="auto"/>
              <w:jc w:val="center"/>
              <w:rPr>
                <w:rFonts w:hint="eastAsia" w:asciiTheme="minorEastAsia" w:hAnsiTheme="minorEastAsia" w:eastAsiaTheme="minorEastAsia" w:cstheme="minorEastAsia"/>
                <w:sz w:val="18"/>
                <w:szCs w:val="18"/>
              </w:rPr>
            </w:pPr>
          </w:p>
        </w:tc>
        <w:tc>
          <w:tcPr>
            <w:tcW w:w="714" w:type="dxa"/>
            <w:noWrap w:val="0"/>
            <w:vAlign w:val="center"/>
          </w:tcPr>
          <w:p w14:paraId="1113DC30">
            <w:pPr>
              <w:spacing w:line="360" w:lineRule="auto"/>
              <w:jc w:val="center"/>
              <w:rPr>
                <w:rFonts w:hint="eastAsia" w:asciiTheme="minorEastAsia" w:hAnsiTheme="minorEastAsia" w:eastAsiaTheme="minorEastAsia" w:cstheme="minorEastAsia"/>
                <w:sz w:val="18"/>
                <w:szCs w:val="18"/>
              </w:rPr>
            </w:pPr>
          </w:p>
        </w:tc>
        <w:tc>
          <w:tcPr>
            <w:tcW w:w="721" w:type="dxa"/>
            <w:noWrap w:val="0"/>
            <w:vAlign w:val="center"/>
          </w:tcPr>
          <w:p w14:paraId="627761E4">
            <w:pPr>
              <w:spacing w:line="360" w:lineRule="auto"/>
              <w:jc w:val="center"/>
              <w:rPr>
                <w:rFonts w:hint="eastAsia" w:asciiTheme="minorEastAsia" w:hAnsiTheme="minorEastAsia" w:eastAsiaTheme="minorEastAsia" w:cstheme="minorEastAsia"/>
                <w:sz w:val="18"/>
                <w:szCs w:val="18"/>
              </w:rPr>
            </w:pPr>
          </w:p>
        </w:tc>
        <w:tc>
          <w:tcPr>
            <w:tcW w:w="824" w:type="dxa"/>
            <w:noWrap w:val="0"/>
            <w:vAlign w:val="center"/>
          </w:tcPr>
          <w:p w14:paraId="36E700A5">
            <w:pPr>
              <w:spacing w:line="360" w:lineRule="auto"/>
              <w:jc w:val="center"/>
              <w:rPr>
                <w:rFonts w:hint="eastAsia" w:asciiTheme="minorEastAsia" w:hAnsiTheme="minorEastAsia" w:eastAsiaTheme="minorEastAsia" w:cstheme="minorEastAsia"/>
                <w:sz w:val="18"/>
                <w:szCs w:val="18"/>
              </w:rPr>
            </w:pPr>
          </w:p>
        </w:tc>
      </w:tr>
      <w:tr w14:paraId="1E2A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37F698E">
            <w:pPr>
              <w:spacing w:line="360" w:lineRule="auto"/>
              <w:jc w:val="center"/>
              <w:rPr>
                <w:rFonts w:hint="eastAsia" w:ascii="宋体" w:hAnsi="宋体" w:cs="Arial"/>
              </w:rPr>
            </w:pPr>
          </w:p>
        </w:tc>
        <w:tc>
          <w:tcPr>
            <w:tcW w:w="909" w:type="dxa"/>
            <w:noWrap w:val="0"/>
            <w:vAlign w:val="center"/>
          </w:tcPr>
          <w:p w14:paraId="29785168">
            <w:pPr>
              <w:spacing w:line="360" w:lineRule="auto"/>
              <w:jc w:val="center"/>
              <w:rPr>
                <w:rFonts w:hint="eastAsia" w:ascii="宋体" w:hAnsi="宋体" w:cs="Arial"/>
              </w:rPr>
            </w:pPr>
          </w:p>
        </w:tc>
        <w:tc>
          <w:tcPr>
            <w:tcW w:w="908" w:type="dxa"/>
            <w:noWrap w:val="0"/>
            <w:vAlign w:val="center"/>
          </w:tcPr>
          <w:p w14:paraId="244096A8">
            <w:pPr>
              <w:spacing w:line="360" w:lineRule="auto"/>
              <w:jc w:val="center"/>
              <w:rPr>
                <w:rFonts w:hint="eastAsia" w:ascii="宋体" w:hAnsi="宋体" w:cs="Arial"/>
              </w:rPr>
            </w:pPr>
          </w:p>
        </w:tc>
        <w:tc>
          <w:tcPr>
            <w:tcW w:w="908" w:type="dxa"/>
            <w:noWrap w:val="0"/>
            <w:vAlign w:val="center"/>
          </w:tcPr>
          <w:p w14:paraId="75E1AFBF">
            <w:pPr>
              <w:spacing w:line="360" w:lineRule="auto"/>
              <w:jc w:val="center"/>
              <w:rPr>
                <w:rFonts w:hint="eastAsia" w:ascii="宋体" w:hAnsi="宋体" w:cs="Arial"/>
              </w:rPr>
            </w:pPr>
          </w:p>
        </w:tc>
        <w:tc>
          <w:tcPr>
            <w:tcW w:w="1177" w:type="dxa"/>
            <w:noWrap w:val="0"/>
            <w:vAlign w:val="center"/>
          </w:tcPr>
          <w:p w14:paraId="43841160">
            <w:pPr>
              <w:spacing w:line="360" w:lineRule="auto"/>
              <w:jc w:val="center"/>
              <w:rPr>
                <w:rFonts w:hint="eastAsia" w:ascii="宋体" w:hAnsi="宋体" w:cs="Arial"/>
              </w:rPr>
            </w:pPr>
          </w:p>
        </w:tc>
        <w:tc>
          <w:tcPr>
            <w:tcW w:w="1286" w:type="dxa"/>
            <w:noWrap w:val="0"/>
            <w:vAlign w:val="center"/>
          </w:tcPr>
          <w:p w14:paraId="7C33A6F6">
            <w:pPr>
              <w:spacing w:line="360" w:lineRule="auto"/>
              <w:jc w:val="center"/>
              <w:rPr>
                <w:rFonts w:hint="eastAsia" w:ascii="宋体" w:hAnsi="宋体" w:cs="Arial"/>
              </w:rPr>
            </w:pPr>
          </w:p>
        </w:tc>
        <w:tc>
          <w:tcPr>
            <w:tcW w:w="714" w:type="dxa"/>
            <w:noWrap w:val="0"/>
            <w:vAlign w:val="center"/>
          </w:tcPr>
          <w:p w14:paraId="2C07A309">
            <w:pPr>
              <w:spacing w:line="360" w:lineRule="auto"/>
              <w:jc w:val="center"/>
              <w:rPr>
                <w:rFonts w:hint="eastAsia" w:ascii="宋体" w:hAnsi="宋体" w:cs="Arial"/>
              </w:rPr>
            </w:pPr>
          </w:p>
        </w:tc>
        <w:tc>
          <w:tcPr>
            <w:tcW w:w="721" w:type="dxa"/>
            <w:noWrap w:val="0"/>
            <w:vAlign w:val="center"/>
          </w:tcPr>
          <w:p w14:paraId="51B873B4">
            <w:pPr>
              <w:spacing w:line="360" w:lineRule="auto"/>
              <w:jc w:val="center"/>
              <w:rPr>
                <w:rFonts w:hint="eastAsia" w:ascii="宋体" w:hAnsi="宋体" w:cs="Arial"/>
              </w:rPr>
            </w:pPr>
          </w:p>
        </w:tc>
        <w:tc>
          <w:tcPr>
            <w:tcW w:w="824" w:type="dxa"/>
            <w:noWrap w:val="0"/>
            <w:vAlign w:val="center"/>
          </w:tcPr>
          <w:p w14:paraId="1F158DB4">
            <w:pPr>
              <w:spacing w:line="360" w:lineRule="auto"/>
              <w:jc w:val="center"/>
              <w:rPr>
                <w:rFonts w:hint="eastAsia" w:ascii="宋体" w:hAnsi="宋体" w:cs="Arial"/>
              </w:rPr>
            </w:pPr>
          </w:p>
        </w:tc>
      </w:tr>
      <w:tr w14:paraId="063E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EF9756E">
            <w:pPr>
              <w:spacing w:line="360" w:lineRule="auto"/>
              <w:jc w:val="center"/>
              <w:rPr>
                <w:rFonts w:hint="eastAsia" w:ascii="宋体" w:hAnsi="宋体" w:cs="Arial"/>
              </w:rPr>
            </w:pPr>
          </w:p>
        </w:tc>
        <w:tc>
          <w:tcPr>
            <w:tcW w:w="909" w:type="dxa"/>
            <w:noWrap w:val="0"/>
            <w:vAlign w:val="center"/>
          </w:tcPr>
          <w:p w14:paraId="06977CF6">
            <w:pPr>
              <w:spacing w:line="360" w:lineRule="auto"/>
              <w:jc w:val="center"/>
              <w:rPr>
                <w:rFonts w:hint="eastAsia" w:ascii="宋体" w:hAnsi="宋体" w:cs="Arial"/>
              </w:rPr>
            </w:pPr>
          </w:p>
        </w:tc>
        <w:tc>
          <w:tcPr>
            <w:tcW w:w="908" w:type="dxa"/>
            <w:noWrap w:val="0"/>
            <w:vAlign w:val="center"/>
          </w:tcPr>
          <w:p w14:paraId="57D0E2DC">
            <w:pPr>
              <w:spacing w:line="360" w:lineRule="auto"/>
              <w:jc w:val="center"/>
              <w:rPr>
                <w:rFonts w:hint="eastAsia" w:ascii="宋体" w:hAnsi="宋体" w:cs="Arial"/>
              </w:rPr>
            </w:pPr>
          </w:p>
        </w:tc>
        <w:tc>
          <w:tcPr>
            <w:tcW w:w="908" w:type="dxa"/>
            <w:noWrap w:val="0"/>
            <w:vAlign w:val="center"/>
          </w:tcPr>
          <w:p w14:paraId="13475F5A">
            <w:pPr>
              <w:spacing w:line="360" w:lineRule="auto"/>
              <w:jc w:val="center"/>
              <w:rPr>
                <w:rFonts w:hint="eastAsia" w:ascii="宋体" w:hAnsi="宋体" w:cs="Arial"/>
              </w:rPr>
            </w:pPr>
          </w:p>
        </w:tc>
        <w:tc>
          <w:tcPr>
            <w:tcW w:w="1177" w:type="dxa"/>
            <w:noWrap w:val="0"/>
            <w:vAlign w:val="center"/>
          </w:tcPr>
          <w:p w14:paraId="7EFB52B9">
            <w:pPr>
              <w:spacing w:line="360" w:lineRule="auto"/>
              <w:jc w:val="center"/>
              <w:rPr>
                <w:rFonts w:hint="eastAsia" w:ascii="宋体" w:hAnsi="宋体" w:cs="Arial"/>
              </w:rPr>
            </w:pPr>
          </w:p>
        </w:tc>
        <w:tc>
          <w:tcPr>
            <w:tcW w:w="1286" w:type="dxa"/>
            <w:noWrap w:val="0"/>
            <w:vAlign w:val="center"/>
          </w:tcPr>
          <w:p w14:paraId="3E28B5AC">
            <w:pPr>
              <w:spacing w:line="360" w:lineRule="auto"/>
              <w:jc w:val="center"/>
              <w:rPr>
                <w:rFonts w:hint="eastAsia" w:ascii="宋体" w:hAnsi="宋体" w:cs="Arial"/>
              </w:rPr>
            </w:pPr>
          </w:p>
        </w:tc>
        <w:tc>
          <w:tcPr>
            <w:tcW w:w="714" w:type="dxa"/>
            <w:noWrap w:val="0"/>
            <w:vAlign w:val="center"/>
          </w:tcPr>
          <w:p w14:paraId="65DEE5EC">
            <w:pPr>
              <w:spacing w:line="360" w:lineRule="auto"/>
              <w:jc w:val="center"/>
              <w:rPr>
                <w:rFonts w:hint="eastAsia" w:ascii="宋体" w:hAnsi="宋体" w:cs="Arial"/>
              </w:rPr>
            </w:pPr>
          </w:p>
        </w:tc>
        <w:tc>
          <w:tcPr>
            <w:tcW w:w="721" w:type="dxa"/>
            <w:noWrap w:val="0"/>
            <w:vAlign w:val="center"/>
          </w:tcPr>
          <w:p w14:paraId="4468A49E">
            <w:pPr>
              <w:spacing w:line="360" w:lineRule="auto"/>
              <w:jc w:val="center"/>
              <w:rPr>
                <w:rFonts w:hint="eastAsia" w:ascii="宋体" w:hAnsi="宋体" w:cs="Arial"/>
              </w:rPr>
            </w:pPr>
          </w:p>
        </w:tc>
        <w:tc>
          <w:tcPr>
            <w:tcW w:w="824" w:type="dxa"/>
            <w:noWrap w:val="0"/>
            <w:vAlign w:val="center"/>
          </w:tcPr>
          <w:p w14:paraId="3394CBBC">
            <w:pPr>
              <w:spacing w:line="360" w:lineRule="auto"/>
              <w:jc w:val="center"/>
              <w:rPr>
                <w:rFonts w:hint="eastAsia" w:ascii="宋体" w:hAnsi="宋体" w:cs="Arial"/>
              </w:rPr>
            </w:pPr>
          </w:p>
        </w:tc>
      </w:tr>
      <w:tr w14:paraId="22AF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5C14282">
            <w:pPr>
              <w:spacing w:line="360" w:lineRule="auto"/>
              <w:jc w:val="center"/>
              <w:rPr>
                <w:rFonts w:hint="eastAsia" w:ascii="宋体" w:hAnsi="宋体" w:cs="Arial"/>
              </w:rPr>
            </w:pPr>
          </w:p>
        </w:tc>
        <w:tc>
          <w:tcPr>
            <w:tcW w:w="909" w:type="dxa"/>
            <w:noWrap w:val="0"/>
            <w:vAlign w:val="center"/>
          </w:tcPr>
          <w:p w14:paraId="0D0E38E0">
            <w:pPr>
              <w:spacing w:line="360" w:lineRule="auto"/>
              <w:jc w:val="center"/>
              <w:rPr>
                <w:rFonts w:hint="eastAsia" w:ascii="宋体" w:hAnsi="宋体" w:cs="Arial"/>
              </w:rPr>
            </w:pPr>
          </w:p>
        </w:tc>
        <w:tc>
          <w:tcPr>
            <w:tcW w:w="908" w:type="dxa"/>
            <w:noWrap w:val="0"/>
            <w:vAlign w:val="center"/>
          </w:tcPr>
          <w:p w14:paraId="2F560162">
            <w:pPr>
              <w:spacing w:line="360" w:lineRule="auto"/>
              <w:jc w:val="center"/>
              <w:rPr>
                <w:rFonts w:hint="eastAsia" w:ascii="宋体" w:hAnsi="宋体" w:cs="Arial"/>
              </w:rPr>
            </w:pPr>
          </w:p>
        </w:tc>
        <w:tc>
          <w:tcPr>
            <w:tcW w:w="908" w:type="dxa"/>
            <w:noWrap w:val="0"/>
            <w:vAlign w:val="center"/>
          </w:tcPr>
          <w:p w14:paraId="1A4B6C6E">
            <w:pPr>
              <w:spacing w:line="360" w:lineRule="auto"/>
              <w:jc w:val="center"/>
              <w:rPr>
                <w:rFonts w:hint="eastAsia" w:ascii="宋体" w:hAnsi="宋体" w:cs="Arial"/>
              </w:rPr>
            </w:pPr>
          </w:p>
        </w:tc>
        <w:tc>
          <w:tcPr>
            <w:tcW w:w="1177" w:type="dxa"/>
            <w:noWrap w:val="0"/>
            <w:vAlign w:val="center"/>
          </w:tcPr>
          <w:p w14:paraId="18F528E3">
            <w:pPr>
              <w:spacing w:line="360" w:lineRule="auto"/>
              <w:jc w:val="center"/>
              <w:rPr>
                <w:rFonts w:hint="eastAsia" w:ascii="宋体" w:hAnsi="宋体" w:cs="Arial"/>
              </w:rPr>
            </w:pPr>
          </w:p>
        </w:tc>
        <w:tc>
          <w:tcPr>
            <w:tcW w:w="1286" w:type="dxa"/>
            <w:noWrap w:val="0"/>
            <w:vAlign w:val="center"/>
          </w:tcPr>
          <w:p w14:paraId="73114795">
            <w:pPr>
              <w:spacing w:line="360" w:lineRule="auto"/>
              <w:jc w:val="center"/>
              <w:rPr>
                <w:rFonts w:hint="eastAsia" w:ascii="宋体" w:hAnsi="宋体" w:cs="Arial"/>
              </w:rPr>
            </w:pPr>
          </w:p>
        </w:tc>
        <w:tc>
          <w:tcPr>
            <w:tcW w:w="714" w:type="dxa"/>
            <w:noWrap w:val="0"/>
            <w:vAlign w:val="center"/>
          </w:tcPr>
          <w:p w14:paraId="53F8546B">
            <w:pPr>
              <w:spacing w:line="360" w:lineRule="auto"/>
              <w:jc w:val="center"/>
              <w:rPr>
                <w:rFonts w:hint="eastAsia" w:ascii="宋体" w:hAnsi="宋体" w:cs="Arial"/>
              </w:rPr>
            </w:pPr>
          </w:p>
        </w:tc>
        <w:tc>
          <w:tcPr>
            <w:tcW w:w="721" w:type="dxa"/>
            <w:noWrap w:val="0"/>
            <w:vAlign w:val="center"/>
          </w:tcPr>
          <w:p w14:paraId="5DFF2DC5">
            <w:pPr>
              <w:spacing w:line="360" w:lineRule="auto"/>
              <w:jc w:val="center"/>
              <w:rPr>
                <w:rFonts w:hint="eastAsia" w:ascii="宋体" w:hAnsi="宋体" w:cs="Arial"/>
              </w:rPr>
            </w:pPr>
          </w:p>
        </w:tc>
        <w:tc>
          <w:tcPr>
            <w:tcW w:w="824" w:type="dxa"/>
            <w:noWrap w:val="0"/>
            <w:vAlign w:val="center"/>
          </w:tcPr>
          <w:p w14:paraId="2AB87053">
            <w:pPr>
              <w:spacing w:line="360" w:lineRule="auto"/>
              <w:jc w:val="center"/>
              <w:rPr>
                <w:rFonts w:hint="eastAsia" w:ascii="宋体" w:hAnsi="宋体" w:cs="Arial"/>
              </w:rPr>
            </w:pPr>
          </w:p>
        </w:tc>
      </w:tr>
      <w:tr w14:paraId="0CD5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A8371E5">
            <w:pPr>
              <w:spacing w:line="360" w:lineRule="auto"/>
              <w:jc w:val="center"/>
              <w:rPr>
                <w:rFonts w:hint="eastAsia" w:ascii="宋体" w:hAnsi="宋体" w:cs="Arial"/>
              </w:rPr>
            </w:pPr>
          </w:p>
        </w:tc>
        <w:tc>
          <w:tcPr>
            <w:tcW w:w="909" w:type="dxa"/>
            <w:noWrap w:val="0"/>
            <w:vAlign w:val="center"/>
          </w:tcPr>
          <w:p w14:paraId="5A1372E6">
            <w:pPr>
              <w:spacing w:line="360" w:lineRule="auto"/>
              <w:jc w:val="center"/>
              <w:rPr>
                <w:rFonts w:hint="eastAsia" w:ascii="宋体" w:hAnsi="宋体" w:cs="Arial"/>
              </w:rPr>
            </w:pPr>
          </w:p>
        </w:tc>
        <w:tc>
          <w:tcPr>
            <w:tcW w:w="908" w:type="dxa"/>
            <w:noWrap w:val="0"/>
            <w:vAlign w:val="center"/>
          </w:tcPr>
          <w:p w14:paraId="7A6F8414">
            <w:pPr>
              <w:spacing w:line="360" w:lineRule="auto"/>
              <w:jc w:val="center"/>
              <w:rPr>
                <w:rFonts w:hint="eastAsia" w:ascii="宋体" w:hAnsi="宋体" w:cs="Arial"/>
              </w:rPr>
            </w:pPr>
          </w:p>
        </w:tc>
        <w:tc>
          <w:tcPr>
            <w:tcW w:w="908" w:type="dxa"/>
            <w:noWrap w:val="0"/>
            <w:vAlign w:val="center"/>
          </w:tcPr>
          <w:p w14:paraId="442C0C64">
            <w:pPr>
              <w:spacing w:line="360" w:lineRule="auto"/>
              <w:jc w:val="center"/>
              <w:rPr>
                <w:rFonts w:hint="eastAsia" w:ascii="宋体" w:hAnsi="宋体" w:cs="Arial"/>
              </w:rPr>
            </w:pPr>
          </w:p>
        </w:tc>
        <w:tc>
          <w:tcPr>
            <w:tcW w:w="1177" w:type="dxa"/>
            <w:noWrap w:val="0"/>
            <w:vAlign w:val="center"/>
          </w:tcPr>
          <w:p w14:paraId="7EF65CF8">
            <w:pPr>
              <w:spacing w:line="360" w:lineRule="auto"/>
              <w:jc w:val="center"/>
              <w:rPr>
                <w:rFonts w:hint="eastAsia" w:ascii="宋体" w:hAnsi="宋体" w:cs="Arial"/>
              </w:rPr>
            </w:pPr>
          </w:p>
        </w:tc>
        <w:tc>
          <w:tcPr>
            <w:tcW w:w="1286" w:type="dxa"/>
            <w:noWrap w:val="0"/>
            <w:vAlign w:val="center"/>
          </w:tcPr>
          <w:p w14:paraId="42E1A914">
            <w:pPr>
              <w:spacing w:line="360" w:lineRule="auto"/>
              <w:jc w:val="center"/>
              <w:rPr>
                <w:rFonts w:hint="eastAsia" w:ascii="宋体" w:hAnsi="宋体" w:cs="Arial"/>
              </w:rPr>
            </w:pPr>
          </w:p>
        </w:tc>
        <w:tc>
          <w:tcPr>
            <w:tcW w:w="714" w:type="dxa"/>
            <w:noWrap w:val="0"/>
            <w:vAlign w:val="center"/>
          </w:tcPr>
          <w:p w14:paraId="72225DD1">
            <w:pPr>
              <w:spacing w:line="360" w:lineRule="auto"/>
              <w:jc w:val="center"/>
              <w:rPr>
                <w:rFonts w:hint="eastAsia" w:ascii="宋体" w:hAnsi="宋体" w:cs="Arial"/>
              </w:rPr>
            </w:pPr>
          </w:p>
        </w:tc>
        <w:tc>
          <w:tcPr>
            <w:tcW w:w="721" w:type="dxa"/>
            <w:noWrap w:val="0"/>
            <w:vAlign w:val="center"/>
          </w:tcPr>
          <w:p w14:paraId="10469793">
            <w:pPr>
              <w:spacing w:line="360" w:lineRule="auto"/>
              <w:jc w:val="center"/>
              <w:rPr>
                <w:rFonts w:hint="eastAsia" w:ascii="宋体" w:hAnsi="宋体" w:cs="Arial"/>
              </w:rPr>
            </w:pPr>
          </w:p>
        </w:tc>
        <w:tc>
          <w:tcPr>
            <w:tcW w:w="824" w:type="dxa"/>
            <w:noWrap w:val="0"/>
            <w:vAlign w:val="center"/>
          </w:tcPr>
          <w:p w14:paraId="518FE871">
            <w:pPr>
              <w:spacing w:line="360" w:lineRule="auto"/>
              <w:jc w:val="center"/>
              <w:rPr>
                <w:rFonts w:hint="eastAsia" w:ascii="宋体" w:hAnsi="宋体" w:cs="Arial"/>
              </w:rPr>
            </w:pPr>
          </w:p>
        </w:tc>
      </w:tr>
    </w:tbl>
    <w:p w14:paraId="2FF48D1E">
      <w:pPr>
        <w:pStyle w:val="8"/>
        <w:spacing w:line="360" w:lineRule="auto"/>
        <w:rPr>
          <w:rFonts w:hint="eastAsia" w:hAnsi="宋体" w:eastAsia="宋体"/>
          <w:b w:val="0"/>
          <w:bCs w:val="0"/>
          <w:kern w:val="0"/>
          <w:sz w:val="24"/>
          <w:szCs w:val="24"/>
          <w:highlight w:val="none"/>
          <w:lang w:eastAsia="zh-CN"/>
        </w:rPr>
      </w:pPr>
      <w:r>
        <w:rPr>
          <w:rFonts w:hint="eastAsia" w:hAnsi="宋体"/>
          <w:b/>
          <w:bCs/>
          <w:kern w:val="0"/>
          <w:sz w:val="24"/>
          <w:szCs w:val="24"/>
          <w:highlight w:val="none"/>
          <w:lang w:eastAsia="zh-CN"/>
        </w:rPr>
        <w:t>注：</w:t>
      </w:r>
      <w:r>
        <w:rPr>
          <w:rFonts w:hint="eastAsia" w:hAnsi="宋体"/>
          <w:b w:val="0"/>
          <w:bCs w:val="0"/>
          <w:kern w:val="0"/>
          <w:sz w:val="24"/>
          <w:szCs w:val="24"/>
          <w:highlight w:val="none"/>
          <w:lang w:val="en-US" w:eastAsia="zh-CN"/>
        </w:rPr>
        <w:t>1、</w:t>
      </w:r>
      <w:r>
        <w:rPr>
          <w:rFonts w:hint="eastAsia" w:ascii="宋体" w:hAnsi="宋体" w:eastAsia="宋体" w:cs="宋体"/>
          <w:sz w:val="24"/>
          <w:szCs w:val="24"/>
          <w:lang w:val="en-US" w:eastAsia="zh-CN"/>
        </w:rPr>
        <w:t>电梯维保人员须具有市场监督管理局颁发的中华人民共和国特种设备安全管理和作业人员证。</w:t>
      </w:r>
    </w:p>
    <w:p w14:paraId="18124173">
      <w:pPr>
        <w:numPr>
          <w:ilvl w:val="0"/>
          <w:numId w:val="3"/>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投标人须在投标文件中提供对应人员的上述证书、身份证复印件并加盖投标人公章。（证件附在名单后）</w:t>
      </w:r>
    </w:p>
    <w:p w14:paraId="1047A67C">
      <w:pPr>
        <w:pStyle w:val="2"/>
        <w:widowControl w:val="0"/>
        <w:numPr>
          <w:numId w:val="0"/>
        </w:numPr>
        <w:jc w:val="both"/>
        <w:rPr>
          <w:rFonts w:hint="eastAsia"/>
          <w:lang w:val="en-US" w:eastAsia="zh-CN"/>
        </w:rPr>
      </w:pPr>
    </w:p>
    <w:p w14:paraId="0BAF802A">
      <w:pPr>
        <w:rPr>
          <w:rFonts w:hint="eastAsia"/>
          <w:lang w:val="en-US" w:eastAsia="zh-CN"/>
        </w:rPr>
      </w:pPr>
    </w:p>
    <w:p w14:paraId="0DC9CE7A">
      <w:pPr>
        <w:pStyle w:val="2"/>
        <w:rPr>
          <w:rFonts w:hint="eastAsia"/>
          <w:lang w:val="en-US" w:eastAsia="zh-CN"/>
        </w:rPr>
      </w:pPr>
    </w:p>
    <w:p w14:paraId="397CBC74">
      <w:pPr>
        <w:rPr>
          <w:rFonts w:hint="eastAsia"/>
          <w:lang w:val="en-US" w:eastAsia="zh-CN"/>
        </w:rPr>
      </w:pPr>
    </w:p>
    <w:p w14:paraId="4492D8F5">
      <w:pPr>
        <w:pStyle w:val="2"/>
        <w:rPr>
          <w:rFonts w:hint="eastAsia"/>
          <w:lang w:val="en-US" w:eastAsia="zh-CN"/>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65B8C869">
      <w:pPr>
        <w:rPr>
          <w:rFonts w:hint="eastAsia"/>
        </w:rPr>
      </w:pPr>
    </w:p>
    <w:p w14:paraId="0FFFDF3D">
      <w:pPr>
        <w:rPr>
          <w:rFonts w:hint="eastAsia"/>
        </w:rPr>
      </w:pPr>
    </w:p>
    <w:p w14:paraId="630831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cs="宋体"/>
          <w:b/>
          <w:bCs/>
          <w:i w:val="0"/>
          <w:iCs w:val="0"/>
          <w:caps w:val="0"/>
          <w:color w:val="auto"/>
          <w:spacing w:val="0"/>
          <w:kern w:val="0"/>
          <w:sz w:val="24"/>
          <w:szCs w:val="24"/>
          <w:shd w:val="clear" w:color="auto" w:fill="FFFFFF"/>
          <w:lang w:val="en-US" w:eastAsia="zh-CN" w:bidi="ar"/>
        </w:rPr>
      </w:pPr>
      <w:r>
        <w:rPr>
          <w:rStyle w:val="19"/>
          <w:rFonts w:hint="eastAsia" w:ascii="宋体" w:hAnsi="宋体" w:cs="宋体"/>
          <w:b/>
          <w:bCs/>
          <w:i w:val="0"/>
          <w:iCs w:val="0"/>
          <w:caps w:val="0"/>
          <w:color w:val="auto"/>
          <w:spacing w:val="0"/>
          <w:kern w:val="0"/>
          <w:sz w:val="24"/>
          <w:szCs w:val="24"/>
          <w:shd w:val="clear" w:color="auto" w:fill="FFFFFF"/>
          <w:lang w:val="en-US" w:eastAsia="zh-CN" w:bidi="ar"/>
        </w:rPr>
        <w:t>附件九：供应商基本情况表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096"/>
        <w:gridCol w:w="1169"/>
        <w:gridCol w:w="1329"/>
        <w:gridCol w:w="227"/>
        <w:gridCol w:w="158"/>
        <w:gridCol w:w="469"/>
        <w:gridCol w:w="927"/>
        <w:gridCol w:w="66"/>
        <w:gridCol w:w="319"/>
        <w:gridCol w:w="1196"/>
      </w:tblGrid>
      <w:tr w14:paraId="13CB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7" w:type="pct"/>
            <w:noWrap w:val="0"/>
            <w:vAlign w:val="center"/>
          </w:tcPr>
          <w:p w14:paraId="6B7A7AB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w:t>
            </w:r>
          </w:p>
        </w:tc>
        <w:tc>
          <w:tcPr>
            <w:tcW w:w="4082" w:type="pct"/>
            <w:gridSpan w:val="10"/>
            <w:noWrap w:val="0"/>
            <w:vAlign w:val="center"/>
          </w:tcPr>
          <w:p w14:paraId="71E7796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2F0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17" w:type="pct"/>
            <w:noWrap w:val="0"/>
            <w:vAlign w:val="center"/>
          </w:tcPr>
          <w:p w14:paraId="64AFE41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2335" w:type="pct"/>
            <w:gridSpan w:val="5"/>
            <w:noWrap w:val="0"/>
            <w:vAlign w:val="center"/>
          </w:tcPr>
          <w:p w14:paraId="2F390D4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1D98A72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tc>
        <w:tc>
          <w:tcPr>
            <w:tcW w:w="889" w:type="pct"/>
            <w:gridSpan w:val="2"/>
            <w:noWrap w:val="0"/>
            <w:vAlign w:val="center"/>
          </w:tcPr>
          <w:p w14:paraId="19A2F1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471C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17" w:type="pct"/>
            <w:vMerge w:val="restart"/>
            <w:noWrap w:val="0"/>
            <w:vAlign w:val="center"/>
          </w:tcPr>
          <w:p w14:paraId="0DC2BB7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联系方式</w:t>
            </w:r>
          </w:p>
        </w:tc>
        <w:tc>
          <w:tcPr>
            <w:tcW w:w="643" w:type="pct"/>
            <w:noWrap w:val="0"/>
            <w:vAlign w:val="center"/>
          </w:tcPr>
          <w:p w14:paraId="68C4CE0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p>
        </w:tc>
        <w:tc>
          <w:tcPr>
            <w:tcW w:w="1692" w:type="pct"/>
            <w:gridSpan w:val="4"/>
            <w:noWrap w:val="0"/>
            <w:vAlign w:val="center"/>
          </w:tcPr>
          <w:p w14:paraId="6938F10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2619AE4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889" w:type="pct"/>
            <w:gridSpan w:val="2"/>
            <w:noWrap w:val="0"/>
            <w:vAlign w:val="center"/>
          </w:tcPr>
          <w:p w14:paraId="5D6AC16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628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17" w:type="pct"/>
            <w:vMerge w:val="continue"/>
            <w:noWrap w:val="0"/>
            <w:vAlign w:val="center"/>
          </w:tcPr>
          <w:p w14:paraId="47EDFDD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643" w:type="pct"/>
            <w:noWrap w:val="0"/>
            <w:vAlign w:val="center"/>
          </w:tcPr>
          <w:p w14:paraId="30EBD86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1692" w:type="pct"/>
            <w:gridSpan w:val="4"/>
            <w:noWrap w:val="0"/>
            <w:vAlign w:val="center"/>
          </w:tcPr>
          <w:p w14:paraId="7BD9F2D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76D3C09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网址</w:t>
            </w:r>
          </w:p>
        </w:tc>
        <w:tc>
          <w:tcPr>
            <w:tcW w:w="889" w:type="pct"/>
            <w:gridSpan w:val="2"/>
            <w:noWrap w:val="0"/>
            <w:vAlign w:val="center"/>
          </w:tcPr>
          <w:p w14:paraId="6C5A43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F0B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pct"/>
            <w:noWrap w:val="0"/>
            <w:vAlign w:val="center"/>
          </w:tcPr>
          <w:p w14:paraId="1CC655F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组织结构</w:t>
            </w:r>
          </w:p>
        </w:tc>
        <w:tc>
          <w:tcPr>
            <w:tcW w:w="4082" w:type="pct"/>
            <w:gridSpan w:val="10"/>
            <w:noWrap w:val="0"/>
            <w:vAlign w:val="center"/>
          </w:tcPr>
          <w:p w14:paraId="0581B05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6E19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17" w:type="pct"/>
            <w:noWrap w:val="0"/>
            <w:vAlign w:val="center"/>
          </w:tcPr>
          <w:p w14:paraId="1A7E09C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法定代表人/单位负责人</w:t>
            </w:r>
          </w:p>
        </w:tc>
        <w:tc>
          <w:tcPr>
            <w:tcW w:w="643" w:type="pct"/>
            <w:noWrap w:val="0"/>
            <w:vAlign w:val="center"/>
          </w:tcPr>
          <w:p w14:paraId="33C614F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61606A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D696BC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259800F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57DD2A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05EF575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15C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7" w:type="pct"/>
            <w:noWrap w:val="0"/>
            <w:vAlign w:val="center"/>
          </w:tcPr>
          <w:p w14:paraId="339AA14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技术负责人</w:t>
            </w:r>
          </w:p>
        </w:tc>
        <w:tc>
          <w:tcPr>
            <w:tcW w:w="643" w:type="pct"/>
            <w:noWrap w:val="0"/>
            <w:vAlign w:val="center"/>
          </w:tcPr>
          <w:p w14:paraId="16C60F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43EED4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975C27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383D5CA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60D84FD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122C419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345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7" w:type="pct"/>
            <w:noWrap w:val="0"/>
            <w:vAlign w:val="center"/>
          </w:tcPr>
          <w:p w14:paraId="5F1A753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1329" w:type="pct"/>
            <w:gridSpan w:val="2"/>
            <w:noWrap w:val="0"/>
            <w:vAlign w:val="center"/>
          </w:tcPr>
          <w:p w14:paraId="20E5DA0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2753" w:type="pct"/>
            <w:gridSpan w:val="8"/>
            <w:noWrap w:val="0"/>
            <w:vAlign w:val="center"/>
          </w:tcPr>
          <w:p w14:paraId="59AAC8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员工总人数：</w:t>
            </w:r>
          </w:p>
        </w:tc>
      </w:tr>
      <w:tr w14:paraId="3129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7" w:type="pct"/>
            <w:noWrap w:val="0"/>
            <w:vAlign w:val="center"/>
          </w:tcPr>
          <w:p w14:paraId="5888EFF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企业资质等级</w:t>
            </w:r>
          </w:p>
        </w:tc>
        <w:tc>
          <w:tcPr>
            <w:tcW w:w="1329" w:type="pct"/>
            <w:gridSpan w:val="2"/>
            <w:noWrap w:val="0"/>
            <w:vAlign w:val="center"/>
          </w:tcPr>
          <w:p w14:paraId="592428C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restart"/>
            <w:noWrap w:val="0"/>
            <w:vAlign w:val="center"/>
          </w:tcPr>
          <w:p w14:paraId="353EB42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912" w:type="pct"/>
            <w:gridSpan w:val="3"/>
            <w:noWrap w:val="0"/>
            <w:vAlign w:val="center"/>
          </w:tcPr>
          <w:p w14:paraId="3973FC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项目经理</w:t>
            </w:r>
          </w:p>
        </w:tc>
        <w:tc>
          <w:tcPr>
            <w:tcW w:w="927" w:type="pct"/>
            <w:gridSpan w:val="3"/>
            <w:noWrap w:val="0"/>
            <w:vAlign w:val="center"/>
          </w:tcPr>
          <w:p w14:paraId="5F66B8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14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17" w:type="pct"/>
            <w:noWrap w:val="0"/>
            <w:vAlign w:val="center"/>
          </w:tcPr>
          <w:p w14:paraId="5CC5CA2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营业执照</w:t>
            </w:r>
            <w:r>
              <w:rPr>
                <w:rFonts w:hint="eastAsia" w:ascii="仿宋" w:hAnsi="仿宋" w:eastAsia="仿宋" w:cs="仿宋"/>
                <w:color w:val="auto"/>
                <w:sz w:val="24"/>
                <w:szCs w:val="24"/>
                <w:highlight w:val="none"/>
              </w:rPr>
              <w:t>号</w:t>
            </w:r>
          </w:p>
        </w:tc>
        <w:tc>
          <w:tcPr>
            <w:tcW w:w="1329" w:type="pct"/>
            <w:gridSpan w:val="2"/>
            <w:noWrap w:val="0"/>
            <w:vAlign w:val="center"/>
          </w:tcPr>
          <w:p w14:paraId="1104A8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2F432F6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7A9004E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高级职称人员</w:t>
            </w:r>
          </w:p>
        </w:tc>
        <w:tc>
          <w:tcPr>
            <w:tcW w:w="927" w:type="pct"/>
            <w:gridSpan w:val="3"/>
            <w:noWrap w:val="0"/>
            <w:vAlign w:val="center"/>
          </w:tcPr>
          <w:p w14:paraId="3CD768E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DA9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17" w:type="pct"/>
            <w:noWrap w:val="0"/>
            <w:vAlign w:val="center"/>
          </w:tcPr>
          <w:p w14:paraId="027A5FD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1329" w:type="pct"/>
            <w:gridSpan w:val="2"/>
            <w:noWrap w:val="0"/>
            <w:vAlign w:val="center"/>
          </w:tcPr>
          <w:p w14:paraId="1D1CBC2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6130465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0A9E154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中级职称人员</w:t>
            </w:r>
          </w:p>
        </w:tc>
        <w:tc>
          <w:tcPr>
            <w:tcW w:w="927" w:type="pct"/>
            <w:gridSpan w:val="3"/>
            <w:noWrap w:val="0"/>
            <w:vAlign w:val="center"/>
          </w:tcPr>
          <w:p w14:paraId="41EAB7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2F4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7" w:type="pct"/>
            <w:noWrap w:val="0"/>
            <w:vAlign w:val="center"/>
          </w:tcPr>
          <w:p w14:paraId="7B5F531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p>
        </w:tc>
        <w:tc>
          <w:tcPr>
            <w:tcW w:w="1329" w:type="pct"/>
            <w:gridSpan w:val="2"/>
            <w:noWrap w:val="0"/>
            <w:vAlign w:val="center"/>
          </w:tcPr>
          <w:p w14:paraId="39E1781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5A9E60B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109A5D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初级职称人员</w:t>
            </w:r>
          </w:p>
        </w:tc>
        <w:tc>
          <w:tcPr>
            <w:tcW w:w="927" w:type="pct"/>
            <w:gridSpan w:val="3"/>
            <w:noWrap w:val="0"/>
            <w:vAlign w:val="center"/>
          </w:tcPr>
          <w:p w14:paraId="5C4931C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8C3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17" w:type="pct"/>
            <w:noWrap w:val="0"/>
            <w:vAlign w:val="center"/>
          </w:tcPr>
          <w:p w14:paraId="5A03580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p>
        </w:tc>
        <w:tc>
          <w:tcPr>
            <w:tcW w:w="1329" w:type="pct"/>
            <w:gridSpan w:val="2"/>
            <w:noWrap w:val="0"/>
            <w:vAlign w:val="center"/>
          </w:tcPr>
          <w:p w14:paraId="4AF48E8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7ECEEAC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656FD60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技工</w:t>
            </w:r>
          </w:p>
        </w:tc>
        <w:tc>
          <w:tcPr>
            <w:tcW w:w="927" w:type="pct"/>
            <w:gridSpan w:val="3"/>
            <w:noWrap w:val="0"/>
            <w:vAlign w:val="center"/>
          </w:tcPr>
          <w:p w14:paraId="51F83F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33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17" w:type="pct"/>
            <w:noWrap w:val="0"/>
            <w:vAlign w:val="center"/>
          </w:tcPr>
          <w:p w14:paraId="70A7F48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4082" w:type="pct"/>
            <w:gridSpan w:val="10"/>
            <w:noWrap w:val="0"/>
            <w:vAlign w:val="center"/>
          </w:tcPr>
          <w:p w14:paraId="6B0B92B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82E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17" w:type="pct"/>
            <w:noWrap w:val="0"/>
            <w:vAlign w:val="center"/>
          </w:tcPr>
          <w:p w14:paraId="5417707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4082" w:type="pct"/>
            <w:gridSpan w:val="10"/>
            <w:noWrap w:val="0"/>
            <w:vAlign w:val="center"/>
          </w:tcPr>
          <w:p w14:paraId="0617E57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bl>
    <w:p w14:paraId="6C8025C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3908A1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9"/>
          <w:rFonts w:hint="eastAsia" w:ascii="宋体" w:hAnsi="宋体" w:cs="宋体"/>
          <w:b/>
          <w:bCs/>
          <w:i w:val="0"/>
          <w:iCs w:val="0"/>
          <w:caps w:val="0"/>
          <w:color w:val="auto"/>
          <w:spacing w:val="0"/>
          <w:kern w:val="0"/>
          <w:sz w:val="24"/>
          <w:szCs w:val="24"/>
          <w:shd w:val="clear" w:color="auto" w:fill="FFFFFF"/>
          <w:lang w:val="en-US" w:eastAsia="zh-CN" w:bidi="ar"/>
        </w:rPr>
        <w:t>附件十：</w:t>
      </w:r>
      <w: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项目实施方案、服务方案、服务承诺</w:t>
      </w:r>
    </w:p>
    <w:p w14:paraId="404F452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宋体" w:hAnsi="宋体" w:eastAsia="宋体" w:cs="宋体"/>
          <w:b/>
          <w:bCs/>
          <w:i w:val="0"/>
          <w:iCs w:val="0"/>
          <w:caps w:val="0"/>
          <w:color w:val="auto"/>
          <w:spacing w:val="0"/>
          <w:sz w:val="24"/>
          <w:szCs w:val="24"/>
          <w:shd w:val="clear" w:color="auto" w:fill="FFFFFF"/>
        </w:rPr>
      </w:pPr>
      <w:r>
        <w:rPr>
          <w:rStyle w:val="19"/>
          <w:rFonts w:hint="eastAsia" w:cs="宋体"/>
          <w:b/>
          <w:bCs/>
          <w:i w:val="0"/>
          <w:iCs w:val="0"/>
          <w:caps w:val="0"/>
          <w:color w:val="auto"/>
          <w:spacing w:val="0"/>
          <w:sz w:val="24"/>
          <w:szCs w:val="24"/>
          <w:shd w:val="clear" w:color="auto" w:fill="FFFFFF"/>
          <w:lang w:eastAsia="zh-CN"/>
        </w:rPr>
        <w:t>附件十一：</w:t>
      </w:r>
      <w:r>
        <w:rPr>
          <w:rStyle w:val="19"/>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5B8D220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Fonts w:hint="eastAsia" w:ascii="微软雅黑" w:hAnsi="微软雅黑" w:eastAsia="微软雅黑" w:cs="微软雅黑"/>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rPr>
        <w:t>（格式自拟）</w:t>
      </w:r>
    </w:p>
    <w:p w14:paraId="60FB27F0">
      <w:pPr>
        <w:pStyle w:val="11"/>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0581791A"/>
    <w:p w14:paraId="3EFE40EA">
      <w:pPr>
        <w:numPr>
          <w:ilvl w:val="0"/>
          <w:numId w:val="4"/>
        </w:numPr>
        <w:jc w:val="center"/>
        <w:rPr>
          <w:rFonts w:hint="eastAsia"/>
          <w:b/>
          <w:bCs/>
          <w:sz w:val="24"/>
          <w:szCs w:val="24"/>
          <w:lang w:val="en-US" w:eastAsia="zh-CN"/>
        </w:rPr>
      </w:pPr>
      <w:r>
        <w:rPr>
          <w:rFonts w:hint="eastAsia"/>
          <w:b/>
          <w:bCs/>
          <w:sz w:val="24"/>
          <w:szCs w:val="24"/>
          <w:lang w:val="en-US" w:eastAsia="zh-CN"/>
        </w:rPr>
        <w:t>评审办法</w:t>
      </w:r>
    </w:p>
    <w:p w14:paraId="3E637F0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7"/>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6"/>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6"/>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6"/>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6"/>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6"/>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6"/>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6"/>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6"/>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6"/>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6"/>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6"/>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6"/>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6"/>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6"/>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6"/>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6"/>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6"/>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6"/>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6"/>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6"/>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6"/>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6"/>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708036C">
            <w:pPr>
              <w:pStyle w:val="26"/>
              <w:spacing w:before="86" w:line="219" w:lineRule="auto"/>
              <w:ind w:left="86"/>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按</w:t>
            </w:r>
            <w:r>
              <w:rPr>
                <w:rFonts w:hint="eastAsia" w:asciiTheme="minorEastAsia" w:hAnsiTheme="minorEastAsia" w:eastAsiaTheme="minorEastAsia" w:cstheme="minorEastAsia"/>
                <w:spacing w:val="-1"/>
                <w:sz w:val="24"/>
                <w:szCs w:val="24"/>
                <w:lang w:eastAsia="zh-CN"/>
              </w:rPr>
              <w:t>特殊资格</w:t>
            </w:r>
            <w:r>
              <w:rPr>
                <w:rFonts w:hint="eastAsia" w:asciiTheme="minorEastAsia" w:hAnsiTheme="minorEastAsia" w:eastAsiaTheme="minorEastAsia" w:cstheme="minorEastAsia"/>
                <w:spacing w:val="-1"/>
                <w:sz w:val="24"/>
                <w:szCs w:val="24"/>
              </w:rPr>
              <w:t>要求提</w:t>
            </w:r>
            <w:r>
              <w:rPr>
                <w:rFonts w:hint="eastAsia" w:asciiTheme="minorEastAsia" w:hAnsiTheme="minorEastAsia" w:eastAsiaTheme="minorEastAsia" w:cstheme="minorEastAsia"/>
                <w:spacing w:val="-1"/>
                <w:sz w:val="24"/>
                <w:szCs w:val="24"/>
                <w:lang w:eastAsia="zh-CN"/>
              </w:rPr>
              <w:t>供</w:t>
            </w:r>
            <w:r>
              <w:rPr>
                <w:rFonts w:hint="eastAsia" w:asciiTheme="minorEastAsia" w:hAnsiTheme="minorEastAsia" w:eastAsiaTheme="minorEastAsia" w:cstheme="minorEastAsia"/>
                <w:spacing w:val="-1"/>
                <w:sz w:val="24"/>
                <w:szCs w:val="24"/>
              </w:rPr>
              <w:t>。</w:t>
            </w:r>
          </w:p>
          <w:p w14:paraId="58AC8807">
            <w:pPr>
              <w:pStyle w:val="26"/>
              <w:spacing w:before="86" w:line="219" w:lineRule="auto"/>
              <w:ind w:left="86"/>
              <w:jc w:val="both"/>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kern w:val="2"/>
                <w:sz w:val="24"/>
                <w:szCs w:val="24"/>
                <w:lang w:val="en-US" w:eastAsia="zh-CN" w:bidi="ar-SA"/>
              </w:rPr>
              <w:t>近三年未在信用中国（www.creditchina.gov.cn）和中国政府采购网（www.ccgp.gov. cn）未被列入失信被执行人、重大税收违法案件当事人或政府采购严重违法失信行为记录名单；（提供查询记录截图）</w:t>
            </w:r>
          </w:p>
        </w:tc>
      </w:tr>
    </w:tbl>
    <w:p w14:paraId="61914056">
      <w:pPr>
        <w:spacing w:line="53" w:lineRule="exact"/>
        <w:rPr>
          <w:rFonts w:hint="eastAsia" w:asciiTheme="minorEastAsia" w:hAnsiTheme="minorEastAsia" w:eastAsiaTheme="minorEastAsia" w:cstheme="minorEastAsia"/>
          <w:sz w:val="24"/>
          <w:szCs w:val="24"/>
        </w:rPr>
      </w:pPr>
    </w:p>
    <w:p w14:paraId="0B586EC1">
      <w:pPr>
        <w:spacing w:line="360" w:lineRule="auto"/>
        <w:ind w:firstLine="480" w:firstLineChars="200"/>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shd w:val="clear" w:fill="FFFFFF"/>
        </w:rPr>
        <w:t>注：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w:t>
      </w:r>
      <w:r>
        <w:rPr>
          <w:rFonts w:hint="eastAsia" w:ascii="宋体" w:hAnsi="宋体"/>
          <w:bCs/>
          <w:sz w:val="24"/>
        </w:rPr>
        <w:t>（</w:t>
      </w:r>
      <w:r>
        <w:rPr>
          <w:rFonts w:hint="eastAsia" w:ascii="宋体" w:hAnsi="宋体"/>
          <w:sz w:val="24"/>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rPr>
        <w:t>）</w:t>
      </w:r>
      <w:r>
        <w:rPr>
          <w:rFonts w:hint="eastAsia" w:asciiTheme="minorEastAsia" w:hAnsiTheme="minorEastAsia" w:eastAsiaTheme="minorEastAsia" w:cstheme="minorEastAsia"/>
          <w:i w:val="0"/>
          <w:iCs w:val="0"/>
          <w:caps w:val="0"/>
          <w:color w:val="000000"/>
          <w:spacing w:val="0"/>
          <w:sz w:val="24"/>
          <w:szCs w:val="24"/>
          <w:shd w:val="clear" w:fill="FFFFFF"/>
        </w:rPr>
        <w:t>。投标人可于投标截止日期前通过信用中国网站（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20"/>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20"/>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2169EC9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7"/>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6"/>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6"/>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6"/>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6"/>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6"/>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6"/>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6"/>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6"/>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6"/>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6"/>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6"/>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只能在最高限价内报价，只能有一个有效报价，不得</w:t>
            </w:r>
            <w:r>
              <w:rPr>
                <w:rFonts w:hint="eastAsia" w:asciiTheme="minorEastAsia" w:hAnsiTheme="minorEastAsia" w:eastAsiaTheme="minorEastAsia" w:cstheme="minorEastAsia"/>
                <w:sz w:val="24"/>
                <w:szCs w:val="24"/>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6"/>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6"/>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6"/>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center"/>
          </w:tcPr>
          <w:p w14:paraId="74CD5043">
            <w:pPr>
              <w:pStyle w:val="26"/>
              <w:spacing w:before="62" w:line="248" w:lineRule="auto"/>
              <w:ind w:left="34" w:right="10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6"/>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6"/>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6"/>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6"/>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6"/>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6"/>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6"/>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6"/>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注：若未通过资格审查及符合性审查的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文件，不进入评审环节。</w:t>
      </w:r>
    </w:p>
    <w:p w14:paraId="7907FD5F">
      <w:pPr>
        <w:pStyle w:val="13"/>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Style w:val="19"/>
          <w:rFonts w:hint="eastAsia" w:asciiTheme="minorEastAsia" w:hAnsiTheme="minorEastAsia" w:eastAsiaTheme="minorEastAsia" w:cstheme="minorEastAsia"/>
          <w:i w:val="0"/>
          <w:iCs w:val="0"/>
          <w:caps w:val="0"/>
          <w:color w:val="000000"/>
          <w:spacing w:val="0"/>
          <w:sz w:val="24"/>
          <w:szCs w:val="24"/>
          <w:shd w:val="clear" w:fill="FFFFFF"/>
          <w:lang w:eastAsia="zh-CN"/>
        </w:rPr>
      </w:pPr>
      <w:r>
        <w:rPr>
          <w:rStyle w:val="19"/>
          <w:rFonts w:hint="eastAsia" w:asciiTheme="minorEastAsia" w:hAnsiTheme="minorEastAsia" w:eastAsiaTheme="minorEastAsia" w:cstheme="minorEastAsia"/>
          <w:i w:val="0"/>
          <w:iCs w:val="0"/>
          <w:caps w:val="0"/>
          <w:color w:val="000000"/>
          <w:spacing w:val="0"/>
          <w:sz w:val="24"/>
          <w:szCs w:val="24"/>
          <w:shd w:val="clear" w:fill="FFFFFF"/>
        </w:rPr>
        <w:t>评</w:t>
      </w:r>
      <w:r>
        <w:rPr>
          <w:rStyle w:val="19"/>
          <w:rFonts w:hint="eastAsia" w:asciiTheme="minorEastAsia" w:hAnsiTheme="minorEastAsia" w:eastAsiaTheme="minorEastAsia" w:cstheme="minorEastAsia"/>
          <w:i w:val="0"/>
          <w:iCs w:val="0"/>
          <w:caps w:val="0"/>
          <w:color w:val="000000"/>
          <w:spacing w:val="0"/>
          <w:sz w:val="24"/>
          <w:szCs w:val="24"/>
          <w:shd w:val="clear" w:fill="FFFFFF"/>
          <w:lang w:eastAsia="zh-CN"/>
        </w:rPr>
        <w:t>审细则及标准</w:t>
      </w:r>
    </w:p>
    <w:tbl>
      <w:tblPr>
        <w:tblStyle w:val="1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8"/>
        <w:gridCol w:w="3736"/>
        <w:gridCol w:w="1350"/>
        <w:gridCol w:w="1625"/>
      </w:tblGrid>
      <w:tr w14:paraId="0C95C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pct"/>
          </w:tcPr>
          <w:p w14:paraId="4720AFDE">
            <w:pPr>
              <w:pStyle w:val="23"/>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 评审内容</w:t>
            </w:r>
          </w:p>
        </w:tc>
        <w:tc>
          <w:tcPr>
            <w:tcW w:w="2192" w:type="pct"/>
          </w:tcPr>
          <w:p w14:paraId="1573F609">
            <w:pPr>
              <w:pStyle w:val="23"/>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 具体标准和要求</w:t>
            </w:r>
          </w:p>
        </w:tc>
        <w:tc>
          <w:tcPr>
            <w:tcW w:w="792" w:type="pct"/>
          </w:tcPr>
          <w:p w14:paraId="0A6E5723">
            <w:pPr>
              <w:pStyle w:val="23"/>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 评审分值</w:t>
            </w:r>
          </w:p>
        </w:tc>
        <w:tc>
          <w:tcPr>
            <w:tcW w:w="953" w:type="pct"/>
          </w:tcPr>
          <w:p w14:paraId="5176D612">
            <w:pPr>
              <w:pStyle w:val="23"/>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rPr>
              <w:t xml:space="preserve"> </w:t>
            </w:r>
            <w:r>
              <w:rPr>
                <w:rFonts w:hint="eastAsia" w:asciiTheme="minorEastAsia" w:hAnsiTheme="minorEastAsia" w:eastAsiaTheme="minorEastAsia" w:cstheme="minorEastAsia"/>
                <w:b/>
                <w:bCs/>
                <w:lang w:eastAsia="zh-CN"/>
              </w:rPr>
              <w:t>备注</w:t>
            </w:r>
          </w:p>
        </w:tc>
      </w:tr>
      <w:tr w14:paraId="42478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pct"/>
          </w:tcPr>
          <w:p w14:paraId="660D66C1">
            <w:pPr>
              <w:pStyle w:val="23"/>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实施方案</w:t>
            </w:r>
          </w:p>
        </w:tc>
        <w:tc>
          <w:tcPr>
            <w:tcW w:w="2192" w:type="pct"/>
          </w:tcPr>
          <w:p w14:paraId="45FD98D2">
            <w:pPr>
              <w:pStyle w:val="23"/>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根据供应商针对本项目提供的维保服务实施方案（包含①维保方案、②突发事件应急处理方案、③维保质量保证措施、④维保人员管理办法、⑤维保材料备品备件管理措施），以上维保服务实施方案完全满足采购需求的得20分，每有一项内容缺失的扣4分，每有一项内容有缺陷的扣2分，扣完为止。 2、根据供应商针对本项目提供的内部管理制度（包含①管理制度、②职能分工、③档案管理），以上内部管理制度完全满足采购需求的得12分，每有一项内容缺失的扣4分，每有一项内容有缺陷的扣2分，扣完为止。 3、根据供应商针对本项目提供的安全管理体系与措施（包含①安全教育方案、②培训计划、③安全防护方案），以上安全管理体系与措施完全满足采购需求的得12分，每有一项内容缺失的扣4分，每有一项内容有缺陷的扣2分，扣完为止。 4、根据供应商针对本项目提供的后续服务方案（包含①故障处置响应方案、②售后服务流程方案），以上后续服务方案完全满足采购需求的得8分，每有一项内容缺失的扣4分，每有一项内容有缺陷的扣2分，扣完为止。 </w:t>
            </w:r>
          </w:p>
        </w:tc>
        <w:tc>
          <w:tcPr>
            <w:tcW w:w="792" w:type="pct"/>
          </w:tcPr>
          <w:p w14:paraId="45917315">
            <w:pPr>
              <w:pStyle w:val="2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52</w:t>
            </w:r>
          </w:p>
        </w:tc>
        <w:tc>
          <w:tcPr>
            <w:tcW w:w="953" w:type="pct"/>
          </w:tcPr>
          <w:p w14:paraId="77B07B75">
            <w:pPr>
              <w:pStyle w:val="2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注:缺陷是指存在项目名称错误、地点区域错误、内容与本项目需求无关与实际情况不匹配、不符合项目特点、方案内容矛盾、仅有框架或标题、套用其他项目方案或存在明显与本项目无关的文字内容、适用的标准（方法）错误，等任意一种情形。</w:t>
            </w:r>
          </w:p>
        </w:tc>
      </w:tr>
      <w:tr w14:paraId="04B86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pct"/>
          </w:tcPr>
          <w:p w14:paraId="25D78508">
            <w:pPr>
              <w:pStyle w:val="23"/>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技术服务要求</w:t>
            </w:r>
          </w:p>
        </w:tc>
        <w:tc>
          <w:tcPr>
            <w:tcW w:w="2192" w:type="pct"/>
          </w:tcPr>
          <w:p w14:paraId="02BB03DA">
            <w:pPr>
              <w:pStyle w:val="23"/>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szCs w:val="18"/>
                <w:lang w:val="en-US" w:eastAsia="zh-CN"/>
              </w:rPr>
              <w:t>响应文件完全满足比选文件技术要求条款的，得23</w:t>
            </w:r>
            <w:r>
              <w:rPr>
                <w:rFonts w:hint="eastAsia" w:asciiTheme="minorEastAsia" w:hAnsiTheme="minorEastAsia" w:eastAsiaTheme="minorEastAsia" w:cstheme="minorEastAsia"/>
                <w:sz w:val="18"/>
                <w:szCs w:val="18"/>
                <w:lang w:val="en-US" w:eastAsia="zh-CN"/>
              </w:rPr>
              <w:t>分。带“★”条款（共23</w:t>
            </w:r>
            <w:r>
              <w:rPr>
                <w:rFonts w:hint="eastAsia" w:asciiTheme="minorEastAsia" w:hAnsiTheme="minorEastAsia" w:eastAsiaTheme="minorEastAsia" w:cstheme="minorEastAsia"/>
                <w:sz w:val="18"/>
                <w:szCs w:val="18"/>
                <w:lang w:val="en-US" w:eastAsia="zh-CN"/>
              </w:rPr>
              <w:t>项）的技术得分：每有一项要求不满足扣2分。扣完为止，但不视为响应文件无效。【注：①带“★”条款为实质性要求，不允许负偏离；②针对技术要求条款的响应，如技术要求需提供证明材料的，投标人须按要求提供证明材料，否则对应条款将视为不满足。③本项所述的条款数量按以下原则计算：无子项的条款：以每项条款为1项进行计算；有子项的条款：以最末级的子项为1项进行计算。】</w:t>
            </w:r>
          </w:p>
        </w:tc>
        <w:tc>
          <w:tcPr>
            <w:tcW w:w="792" w:type="pct"/>
          </w:tcPr>
          <w:p w14:paraId="38FE640C">
            <w:pPr>
              <w:pStyle w:val="2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23</w:t>
            </w:r>
          </w:p>
        </w:tc>
        <w:tc>
          <w:tcPr>
            <w:tcW w:w="953" w:type="pct"/>
          </w:tcPr>
          <w:p w14:paraId="0804BD17">
            <w:pPr>
              <w:pStyle w:val="23"/>
              <w:jc w:val="center"/>
              <w:rPr>
                <w:rFonts w:hint="eastAsia" w:asciiTheme="minorEastAsia" w:hAnsiTheme="minorEastAsia" w:eastAsiaTheme="minorEastAsia" w:cstheme="minorEastAsia"/>
              </w:rPr>
            </w:pPr>
            <w:bookmarkStart w:id="1" w:name="_GoBack"/>
            <w:bookmarkEnd w:id="1"/>
          </w:p>
        </w:tc>
      </w:tr>
      <w:tr w14:paraId="5ECFD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pct"/>
          </w:tcPr>
          <w:p w14:paraId="1E49D3CF">
            <w:pPr>
              <w:pStyle w:val="23"/>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履约能力</w:t>
            </w:r>
          </w:p>
        </w:tc>
        <w:tc>
          <w:tcPr>
            <w:tcW w:w="2192" w:type="pct"/>
          </w:tcPr>
          <w:p w14:paraId="4960761C">
            <w:pPr>
              <w:pStyle w:val="23"/>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自202</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年1月1日（含）以来（以合同签订时间或中标通知书落款时间为准），供应商</w:t>
            </w:r>
            <w:r>
              <w:rPr>
                <w:rFonts w:hint="eastAsia" w:asciiTheme="minorEastAsia" w:hAnsiTheme="minorEastAsia" w:cstheme="minorEastAsia"/>
                <w:lang w:eastAsia="zh-CN"/>
              </w:rPr>
              <w:t>提供</w:t>
            </w:r>
            <w:r>
              <w:rPr>
                <w:rFonts w:hint="eastAsia" w:asciiTheme="minorEastAsia" w:hAnsiTheme="minorEastAsia" w:eastAsiaTheme="minorEastAsia" w:cstheme="minorEastAsia"/>
              </w:rPr>
              <w:t>一个类似项目业绩得</w:t>
            </w: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分，</w:t>
            </w:r>
            <w:r>
              <w:rPr>
                <w:rFonts w:hint="eastAsia" w:asciiTheme="minorEastAsia" w:hAnsiTheme="minorEastAsia" w:cstheme="minorEastAsia"/>
                <w:lang w:eastAsia="zh-CN"/>
              </w:rPr>
              <w:t>每增加一个业绩得</w:t>
            </w:r>
            <w:r>
              <w:rPr>
                <w:rFonts w:hint="eastAsia" w:asciiTheme="minorEastAsia" w:hAnsiTheme="minorEastAsia" w:cstheme="minorEastAsia"/>
                <w:lang w:val="en-US" w:eastAsia="zh-CN"/>
              </w:rPr>
              <w:t>3分，</w:t>
            </w:r>
            <w:r>
              <w:rPr>
                <w:rFonts w:hint="eastAsia" w:asciiTheme="minorEastAsia" w:hAnsiTheme="minorEastAsia" w:eastAsiaTheme="minorEastAsia" w:cstheme="minorEastAsia"/>
              </w:rPr>
              <w:t xml:space="preserve">最多得10分。 </w:t>
            </w:r>
          </w:p>
        </w:tc>
        <w:tc>
          <w:tcPr>
            <w:tcW w:w="792" w:type="pct"/>
          </w:tcPr>
          <w:p w14:paraId="227B872B">
            <w:pPr>
              <w:pStyle w:val="2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953" w:type="pct"/>
          </w:tcPr>
          <w:p w14:paraId="2B0F14B7">
            <w:pPr>
              <w:pStyle w:val="2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提供合同复印件或中标通知书复印件并加盖供应商单位公章。</w:t>
            </w:r>
          </w:p>
        </w:tc>
      </w:tr>
      <w:tr w14:paraId="1F214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pct"/>
            <w:vMerge w:val="restart"/>
          </w:tcPr>
          <w:p w14:paraId="44D18DDF">
            <w:pPr>
              <w:pStyle w:val="23"/>
              <w:jc w:val="left"/>
              <w:rPr>
                <w:rFonts w:hint="eastAsia" w:asciiTheme="minorEastAsia" w:hAnsiTheme="minorEastAsia" w:eastAsiaTheme="minorEastAsia" w:cstheme="minorEastAsia"/>
                <w:lang w:eastAsia="zh-CN"/>
              </w:rPr>
            </w:pPr>
            <w:r>
              <w:rPr>
                <w:rFonts w:hint="eastAsia" w:asciiTheme="minorEastAsia" w:hAnsiTheme="minorEastAsia" w:cstheme="minorEastAsia"/>
                <w:lang w:eastAsia="zh-CN"/>
              </w:rPr>
              <w:t>报价</w:t>
            </w:r>
          </w:p>
        </w:tc>
        <w:tc>
          <w:tcPr>
            <w:tcW w:w="2192" w:type="pct"/>
            <w:shd w:val="clear"/>
            <w:vAlign w:val="top"/>
          </w:tcPr>
          <w:p w14:paraId="56B329B5">
            <w:pPr>
              <w:pStyle w:val="23"/>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服务费：以本次符合要求的最低参选报价为基准价，报价得分=（基准价／投标报价）×10%×100。</w:t>
            </w:r>
          </w:p>
        </w:tc>
        <w:tc>
          <w:tcPr>
            <w:tcW w:w="792" w:type="pct"/>
          </w:tcPr>
          <w:p w14:paraId="4E9A9742">
            <w:pPr>
              <w:pStyle w:val="23"/>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10</w:t>
            </w:r>
          </w:p>
        </w:tc>
        <w:tc>
          <w:tcPr>
            <w:tcW w:w="953" w:type="pct"/>
            <w:vMerge w:val="restart"/>
          </w:tcPr>
          <w:p w14:paraId="58572684">
            <w:pPr>
              <w:pStyle w:val="23"/>
              <w:jc w:val="center"/>
              <w:rPr>
                <w:rFonts w:hint="eastAsia" w:asciiTheme="minorEastAsia" w:hAnsiTheme="minorEastAsia" w:eastAsiaTheme="minorEastAsia" w:cstheme="minorEastAsia"/>
              </w:rPr>
            </w:pPr>
            <w:r>
              <w:rPr>
                <w:rFonts w:hint="eastAsia" w:asciiTheme="minorEastAsia" w:hAnsiTheme="minorEastAsia" w:cstheme="minorEastAsia"/>
                <w:b w:val="0"/>
                <w:bCs w:val="0"/>
                <w:sz w:val="18"/>
                <w:szCs w:val="18"/>
                <w:lang w:eastAsia="zh-CN"/>
              </w:rPr>
              <w:t>该项总分</w:t>
            </w:r>
            <w:r>
              <w:rPr>
                <w:rFonts w:hint="eastAsia" w:asciiTheme="minorEastAsia" w:hAnsiTheme="minorEastAsia" w:cstheme="minorEastAsia"/>
                <w:b w:val="0"/>
                <w:bCs w:val="0"/>
                <w:sz w:val="18"/>
                <w:szCs w:val="18"/>
                <w:lang w:val="en-US" w:eastAsia="zh-CN"/>
              </w:rPr>
              <w:t>10分，不报价不得分</w:t>
            </w:r>
          </w:p>
        </w:tc>
      </w:tr>
      <w:tr w14:paraId="640D9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pct"/>
            <w:vMerge w:val="continue"/>
            <w:tcBorders/>
          </w:tcPr>
          <w:p w14:paraId="13041154">
            <w:pPr>
              <w:pStyle w:val="23"/>
              <w:jc w:val="left"/>
              <w:rPr>
                <w:rFonts w:hint="eastAsia" w:asciiTheme="minorEastAsia" w:hAnsiTheme="minorEastAsia" w:eastAsiaTheme="minorEastAsia" w:cstheme="minorEastAsia"/>
                <w:lang w:eastAsia="zh-CN"/>
              </w:rPr>
            </w:pPr>
          </w:p>
        </w:tc>
        <w:tc>
          <w:tcPr>
            <w:tcW w:w="2192" w:type="pct"/>
            <w:shd w:val="clear"/>
            <w:vAlign w:val="top"/>
          </w:tcPr>
          <w:p w14:paraId="075955D2">
            <w:pPr>
              <w:pStyle w:val="23"/>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常用零配件：以本次符合要求的参选报价的单价总价最低报价为基准价，报价得分=（基准价／投标报价）×5%×100。</w:t>
            </w:r>
          </w:p>
        </w:tc>
        <w:tc>
          <w:tcPr>
            <w:tcW w:w="792" w:type="pct"/>
          </w:tcPr>
          <w:p w14:paraId="6D73737E">
            <w:pPr>
              <w:pStyle w:val="23"/>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5</w:t>
            </w:r>
          </w:p>
        </w:tc>
        <w:tc>
          <w:tcPr>
            <w:tcW w:w="953" w:type="pct"/>
            <w:vMerge w:val="continue"/>
            <w:tcBorders/>
          </w:tcPr>
          <w:p w14:paraId="6746638B">
            <w:pPr>
              <w:pStyle w:val="23"/>
              <w:jc w:val="center"/>
              <w:rPr>
                <w:rFonts w:hint="eastAsia" w:asciiTheme="minorEastAsia" w:hAnsiTheme="minorEastAsia" w:eastAsiaTheme="minorEastAsia" w:cstheme="minorEastAsia"/>
              </w:rPr>
            </w:pPr>
          </w:p>
        </w:tc>
      </w:tr>
    </w:tbl>
    <w:p w14:paraId="5DA8030E">
      <w:pPr>
        <w:pStyle w:val="1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rightChars="0"/>
        <w:jc w:val="both"/>
        <w:rPr>
          <w:rStyle w:val="19"/>
          <w:rFonts w:hint="eastAsia" w:asciiTheme="minorEastAsia" w:hAnsiTheme="minorEastAsia" w:eastAsiaTheme="minorEastAsia" w:cstheme="minorEastAsia"/>
          <w:i w:val="0"/>
          <w:iCs w:val="0"/>
          <w:caps w:val="0"/>
          <w:color w:val="000000"/>
          <w:spacing w:val="0"/>
          <w:sz w:val="24"/>
          <w:szCs w:val="24"/>
          <w:shd w:val="clear" w:fill="FFFFFF"/>
          <w:lang w:eastAsia="zh-CN"/>
        </w:rPr>
      </w:pPr>
    </w:p>
    <w:p w14:paraId="4054DAA8">
      <w:pPr>
        <w:spacing w:line="360" w:lineRule="auto"/>
        <w:jc w:val="left"/>
        <w:rPr>
          <w:rFonts w:hint="eastAsia" w:ascii="宋体" w:hAnsi="宋体" w:cs="宋体"/>
          <w:color w:val="000000"/>
        </w:rPr>
      </w:pPr>
      <w:r>
        <w:rPr>
          <w:rFonts w:hint="eastAsia" w:ascii="宋体" w:hAnsi="宋体" w:cs="宋体"/>
          <w:color w:val="000000"/>
          <w:sz w:val="24"/>
        </w:rPr>
        <w:t>注：评分的取值按四舍五入法，保留小数点后两位。</w:t>
      </w:r>
    </w:p>
    <w:p w14:paraId="49871C4E">
      <w:pPr>
        <w:numPr>
          <w:ilvl w:val="0"/>
          <w:numId w:val="0"/>
        </w:numPr>
        <w:ind w:firstLine="480" w:firstLineChars="200"/>
        <w:rPr>
          <w:rFonts w:hint="eastAsia" w:asciiTheme="minorEastAsia" w:hAnsiTheme="minorEastAsia" w:eastAsiaTheme="minorEastAsia" w:cstheme="minorEastAsia"/>
          <w:sz w:val="24"/>
          <w:szCs w:val="24"/>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B3181"/>
    <w:multiLevelType w:val="singleLevel"/>
    <w:tmpl w:val="84BB3181"/>
    <w:lvl w:ilvl="0" w:tentative="0">
      <w:start w:val="3"/>
      <w:numFmt w:val="chineseCounting"/>
      <w:suff w:val="nothing"/>
      <w:lvlText w:val="%1、"/>
      <w:lvlJc w:val="left"/>
      <w:rPr>
        <w:rFonts w:hint="eastAsia"/>
      </w:rPr>
    </w:lvl>
  </w:abstractNum>
  <w:abstractNum w:abstractNumId="1">
    <w:nsid w:val="921784D4"/>
    <w:multiLevelType w:val="singleLevel"/>
    <w:tmpl w:val="921784D4"/>
    <w:lvl w:ilvl="0" w:tentative="0">
      <w:start w:val="2"/>
      <w:numFmt w:val="decimal"/>
      <w:suff w:val="nothing"/>
      <w:lvlText w:val="%1、"/>
      <w:lvlJc w:val="left"/>
    </w:lvl>
  </w:abstractNum>
  <w:abstractNum w:abstractNumId="2">
    <w:nsid w:val="A7B53C71"/>
    <w:multiLevelType w:val="singleLevel"/>
    <w:tmpl w:val="A7B53C71"/>
    <w:lvl w:ilvl="0" w:tentative="0">
      <w:start w:val="4"/>
      <w:numFmt w:val="chineseCounting"/>
      <w:suff w:val="space"/>
      <w:lvlText w:val="第%1章"/>
      <w:lvlJc w:val="left"/>
      <w:rPr>
        <w:rFonts w:hint="eastAsia"/>
      </w:rPr>
    </w:lvl>
  </w:abstractNum>
  <w:abstractNum w:abstractNumId="3">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74A419E"/>
    <w:rsid w:val="0E796E97"/>
    <w:rsid w:val="1772678E"/>
    <w:rsid w:val="178A63C4"/>
    <w:rsid w:val="190E6B38"/>
    <w:rsid w:val="1A70502E"/>
    <w:rsid w:val="205B4263"/>
    <w:rsid w:val="257C72E1"/>
    <w:rsid w:val="262557C8"/>
    <w:rsid w:val="291458F7"/>
    <w:rsid w:val="292B58C9"/>
    <w:rsid w:val="2A9B5B59"/>
    <w:rsid w:val="2B35658D"/>
    <w:rsid w:val="2BB70AC7"/>
    <w:rsid w:val="353D3A46"/>
    <w:rsid w:val="394E0F10"/>
    <w:rsid w:val="3A39358D"/>
    <w:rsid w:val="3B11613A"/>
    <w:rsid w:val="3CEF76C4"/>
    <w:rsid w:val="3F397DD7"/>
    <w:rsid w:val="3F9B2FC3"/>
    <w:rsid w:val="462A24BE"/>
    <w:rsid w:val="4C3C0B3D"/>
    <w:rsid w:val="52E71802"/>
    <w:rsid w:val="61A979D6"/>
    <w:rsid w:val="63C0498B"/>
    <w:rsid w:val="66042C1F"/>
    <w:rsid w:val="6948478B"/>
    <w:rsid w:val="767E1BCE"/>
    <w:rsid w:val="76B15B00"/>
    <w:rsid w:val="79792A79"/>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cs="Droid Sans"/>
      <w:sz w:val="20"/>
      <w:szCs w:val="20"/>
    </w:rPr>
  </w:style>
  <w:style w:type="paragraph" w:styleId="5">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6">
    <w:name w:val="Document Map"/>
    <w:basedOn w:val="1"/>
    <w:qFormat/>
    <w:uiPriority w:val="99"/>
    <w:rPr>
      <w:rFonts w:ascii="宋体"/>
      <w:sz w:val="18"/>
      <w:szCs w:val="18"/>
    </w:rPr>
  </w:style>
  <w:style w:type="paragraph" w:styleId="7">
    <w:name w:val="Body Text"/>
    <w:basedOn w:val="1"/>
    <w:next w:val="1"/>
    <w:qFormat/>
    <w:uiPriority w:val="0"/>
    <w:pPr>
      <w:spacing w:after="120"/>
    </w:pPr>
    <w:rPr>
      <w:rFonts w:ascii="Calibri" w:hAnsi="Calibri" w:cs="Times New Roman"/>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Subtitle"/>
    <w:basedOn w:val="1"/>
    <w:qFormat/>
    <w:uiPriority w:val="0"/>
    <w:rPr>
      <w:kern w:val="2"/>
      <w:sz w:val="2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7"/>
    <w:next w:val="15"/>
    <w:unhideWhenUsed/>
    <w:qFormat/>
    <w:uiPriority w:val="99"/>
    <w:pPr>
      <w:ind w:firstLine="420" w:firstLineChars="100"/>
    </w:pPr>
  </w:style>
  <w:style w:type="paragraph" w:customStyle="1" w:styleId="15">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000FF"/>
      <w:u w:val="single"/>
    </w:rPr>
  </w:style>
  <w:style w:type="paragraph" w:customStyle="1" w:styleId="21">
    <w:name w:val="_正文段落"/>
    <w:basedOn w:val="1"/>
    <w:qFormat/>
    <w:uiPriority w:val="0"/>
    <w:pPr>
      <w:spacing w:line="360" w:lineRule="auto"/>
    </w:pPr>
    <w:rPr>
      <w:rFonts w:eastAsia="仿宋_GB2312"/>
      <w:sz w:val="28"/>
      <w:szCs w:val="24"/>
    </w:rPr>
  </w:style>
  <w:style w:type="paragraph" w:customStyle="1" w:styleId="22">
    <w:name w:val="表格"/>
    <w:basedOn w:val="1"/>
    <w:qFormat/>
    <w:uiPriority w:val="0"/>
    <w:pPr>
      <w:spacing w:line="400" w:lineRule="exact"/>
    </w:pPr>
    <w:rPr>
      <w:sz w:val="24"/>
      <w:szCs w:val="24"/>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character" w:customStyle="1" w:styleId="24">
    <w:name w:val="font01"/>
    <w:basedOn w:val="18"/>
    <w:qFormat/>
    <w:uiPriority w:val="0"/>
    <w:rPr>
      <w:rFonts w:hint="eastAsia" w:ascii="宋体" w:hAnsi="宋体" w:eastAsia="宋体" w:cs="宋体"/>
      <w:color w:val="000000"/>
      <w:sz w:val="22"/>
      <w:szCs w:val="22"/>
      <w:u w:val="none"/>
    </w:rPr>
  </w:style>
  <w:style w:type="paragraph" w:customStyle="1" w:styleId="25">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6">
    <w:name w:val="Table Text"/>
    <w:basedOn w:val="1"/>
    <w:semiHidden/>
    <w:qFormat/>
    <w:uiPriority w:val="0"/>
    <w:rPr>
      <w:rFonts w:ascii="宋体" w:hAnsi="宋体" w:eastAsia="宋体" w:cs="宋体"/>
      <w:sz w:val="17"/>
      <w:szCs w:val="17"/>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 w:type="character" w:customStyle="1" w:styleId="28">
    <w:name w:val="font11"/>
    <w:basedOn w:val="18"/>
    <w:qFormat/>
    <w:uiPriority w:val="0"/>
    <w:rPr>
      <w:rFonts w:hint="eastAsia" w:ascii="宋体" w:hAnsi="宋体" w:eastAsia="宋体" w:cs="宋体"/>
      <w:color w:val="505050"/>
      <w:sz w:val="18"/>
      <w:szCs w:val="18"/>
      <w:u w:val="none"/>
    </w:rPr>
  </w:style>
  <w:style w:type="character" w:customStyle="1" w:styleId="29">
    <w:name w:val="font21"/>
    <w:basedOn w:val="18"/>
    <w:qFormat/>
    <w:uiPriority w:val="0"/>
    <w:rPr>
      <w:rFonts w:hint="eastAsia" w:ascii="宋体" w:hAnsi="宋体" w:eastAsia="宋体" w:cs="宋体"/>
      <w:color w:val="50505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5755</Words>
  <Characters>6265</Characters>
  <Lines>0</Lines>
  <Paragraphs>0</Paragraphs>
  <TotalTime>0</TotalTime>
  <ScaleCrop>false</ScaleCrop>
  <LinksUpToDate>false</LinksUpToDate>
  <CharactersWithSpaces>6538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cp:lastPrinted>2026-04-07T02:42:00Z</cp:lastPrinted>
  <dcterms:modified xsi:type="dcterms:W3CDTF">2026-04-07T08:04:15Z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50BAD71B2E664578ACE3A66937FEADAD_13</vt:lpwstr>
  </property>
  <property fmtid="{D5CDD505-2E9C-101B-9397-08002B2CF9AE}" pid="4" name="KSOTemplateDocerSaveRecord">
    <vt:lpwstr>eyJoZGlkIjoiMWU5NjNjMGEzYjgxN2ZkODZiMmM5ZDg3YzJlMDczMmIiLCJ1c2VySWQiOiIxNzUwNTYzNDQyIn0=</vt:lpwstr>
  </property>
</Properties>
</file>