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125DA61D">
      <w:pPr>
        <w:spacing w:line="900" w:lineRule="exact"/>
        <w:jc w:val="center"/>
        <w:rPr>
          <w:rFonts w:hint="eastAsia" w:ascii="宋体" w:hAnsi="宋体"/>
          <w:b/>
          <w:sz w:val="48"/>
          <w:szCs w:val="48"/>
          <w:lang w:eastAsia="zh-CN"/>
        </w:rPr>
      </w:pPr>
      <w:r>
        <w:rPr>
          <w:rFonts w:hint="eastAsia" w:ascii="宋体" w:hAnsi="宋体"/>
          <w:b/>
          <w:sz w:val="48"/>
          <w:szCs w:val="48"/>
          <w:lang w:eastAsia="zh-CN"/>
        </w:rPr>
        <w:t>2026-2028年消防维保服务项目（二次）</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4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w:t>
      </w:r>
      <w:r>
        <w:rPr>
          <w:rFonts w:hint="eastAsia" w:ascii="宋体" w:hAnsi="宋体" w:cs="宋体"/>
          <w:b w:val="0"/>
          <w:bCs w:val="0"/>
          <w:i w:val="0"/>
          <w:iCs w:val="0"/>
          <w:caps w:val="0"/>
          <w:color w:val="auto"/>
          <w:spacing w:val="0"/>
          <w:kern w:val="0"/>
          <w:sz w:val="28"/>
          <w:szCs w:val="28"/>
          <w:shd w:val="clear" w:fill="FFFFFF"/>
          <w:lang w:val="en-US" w:eastAsia="zh-CN" w:bidi="ar"/>
        </w:rPr>
        <w:t>心2026-2028年消防维保服务</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r>
        <w:rPr>
          <w:rFonts w:hint="eastAsia" w:ascii="宋体" w:hAnsi="宋体" w:cs="宋体"/>
          <w:b w:val="0"/>
          <w:bCs w:val="0"/>
          <w:i w:val="0"/>
          <w:iCs w:val="0"/>
          <w:caps w:val="0"/>
          <w:color w:val="auto"/>
          <w:spacing w:val="0"/>
          <w:kern w:val="0"/>
          <w:sz w:val="28"/>
          <w:szCs w:val="28"/>
          <w:shd w:val="clear" w:fill="FFFFFF"/>
          <w:lang w:val="en-US" w:eastAsia="zh-CN" w:bidi="ar"/>
        </w:rPr>
        <w:t>（二次）</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二、预算金额：60000元/3年</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院内比选</w:t>
      </w:r>
    </w:p>
    <w:p w14:paraId="571A88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101DFCF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5E460336">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0223AD7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7E2E2794">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59B5BEF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16D21FB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19003F1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65D0A528">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3FE4A732">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7.3</w:t>
      </w:r>
      <w:r>
        <w:rPr>
          <w:rFonts w:ascii="微软雅黑" w:hAnsi="微软雅黑" w:eastAsia="微软雅黑" w:cs="微软雅黑"/>
          <w:i w:val="0"/>
          <w:iCs w:val="0"/>
          <w:caps w:val="0"/>
          <w:color w:val="333333"/>
          <w:spacing w:val="0"/>
          <w:sz w:val="27"/>
          <w:szCs w:val="27"/>
        </w:rPr>
        <w:t>在</w:t>
      </w:r>
      <w:r>
        <w:rPr>
          <w:rFonts w:hint="eastAsia" w:ascii="宋体" w:hAnsi="宋体" w:eastAsia="宋体" w:cs="宋体"/>
          <w:b w:val="0"/>
          <w:bCs w:val="0"/>
          <w:i w:val="0"/>
          <w:iCs w:val="0"/>
          <w:caps w:val="0"/>
          <w:color w:val="auto"/>
          <w:spacing w:val="0"/>
          <w:kern w:val="0"/>
          <w:sz w:val="28"/>
          <w:szCs w:val="28"/>
          <w:shd w:val="clear" w:fill="FFFFFF"/>
          <w:lang w:val="en-US" w:eastAsia="zh-CN" w:bidi="ar"/>
        </w:rPr>
        <w:t>“社会消防技术服务信息系统”（或省级平台）完成备案，服务类型包含消防设施维护保养检测。</w:t>
      </w:r>
    </w:p>
    <w:p w14:paraId="6DE6ADA4">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本项目不接受联合体参选；不允许项目转包或分包。</w:t>
      </w:r>
    </w:p>
    <w:p w14:paraId="56B30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74B6B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16</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39025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17762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34EA7C3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005BDF46">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7427C0EC">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2352D24">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w:t>
      </w:r>
      <w:r>
        <w:rPr>
          <w:rFonts w:hint="eastAsia" w:ascii="宋体" w:hAnsi="宋体" w:cs="宋体"/>
          <w:b w:val="0"/>
          <w:bCs w:val="0"/>
          <w:i w:val="0"/>
          <w:iCs w:val="0"/>
          <w:caps w:val="0"/>
          <w:color w:val="auto"/>
          <w:spacing w:val="0"/>
          <w:kern w:val="0"/>
          <w:sz w:val="28"/>
          <w:szCs w:val="28"/>
          <w:shd w:val="clear" w:fill="FFFFFF"/>
          <w:lang w:val="en-US" w:eastAsia="zh-CN" w:bidi="ar"/>
        </w:rPr>
        <w:t>计划生育服务中心</w:t>
      </w:r>
    </w:p>
    <w:p w14:paraId="3E63268C">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安保科</w:t>
      </w:r>
      <w:r>
        <w:rPr>
          <w:rFonts w:hint="eastAsia" w:ascii="宋体" w:hAnsi="宋体" w:eastAsia="宋体" w:cs="宋体"/>
          <w:b w:val="0"/>
          <w:bCs w:val="0"/>
          <w:i w:val="0"/>
          <w:iCs w:val="0"/>
          <w:caps w:val="0"/>
          <w:color w:val="auto"/>
          <w:spacing w:val="0"/>
          <w:kern w:val="0"/>
          <w:sz w:val="28"/>
          <w:szCs w:val="28"/>
          <w:shd w:val="clear" w:fill="FFFFFF"/>
          <w:lang w:val="en-US" w:eastAsia="zh-CN" w:bidi="ar"/>
        </w:rPr>
        <w:t>：028-23055938</w:t>
      </w:r>
    </w:p>
    <w:p w14:paraId="6F79ABF2">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5544FA2F">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监督电话：028-23065867</w:t>
      </w:r>
    </w:p>
    <w:p w14:paraId="28448F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eastAsia="zh-CN"/>
              </w:rPr>
              <w:t>2026-2028年消防维保服务</w:t>
            </w:r>
            <w:r>
              <w:rPr>
                <w:rFonts w:hint="eastAsia" w:ascii="宋体" w:hAnsi="宋体" w:eastAsia="宋体" w:cs="Times New Roman"/>
                <w:sz w:val="24"/>
                <w:lang w:eastAsia="zh-CN"/>
              </w:rPr>
              <w:t>采购项目</w:t>
            </w:r>
            <w:r>
              <w:rPr>
                <w:rFonts w:hint="eastAsia" w:ascii="宋体" w:hAnsi="宋体" w:cs="Times New Roman"/>
                <w:sz w:val="24"/>
                <w:lang w:eastAsia="zh-CN"/>
              </w:rPr>
              <w:t>（二次）</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本项目分1个包</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kern w:val="2"/>
                <w:sz w:val="24"/>
                <w:szCs w:val="24"/>
                <w:lang w:val="en-US" w:eastAsia="zh-CN" w:bidi="ar-SA"/>
              </w:rPr>
              <w:t>最高限价：60000元/3年</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238C4596">
            <w:pPr>
              <w:widowControl w:val="0"/>
              <w:jc w:val="both"/>
              <w:rPr>
                <w:rFonts w:hint="eastAsia" w:ascii="宋体" w:hAnsi="宋体" w:eastAsia="宋体" w:cs="宋体"/>
                <w:b w:val="0"/>
                <w:bCs/>
                <w:sz w:val="22"/>
                <w:szCs w:val="20"/>
                <w:u w:val="none"/>
                <w:vertAlign w:val="baseline"/>
                <w:lang w:val="en-US" w:eastAsia="zh-CN" w:bidi="ar"/>
              </w:rPr>
            </w:pPr>
            <w:r>
              <w:rPr>
                <w:rFonts w:hint="eastAsia" w:ascii="宋体" w:hAnsi="宋体" w:cs="宋体"/>
                <w:b w:val="0"/>
                <w:bCs/>
                <w:sz w:val="22"/>
                <w:szCs w:val="20"/>
                <w:vertAlign w:val="baseline"/>
                <w:lang w:val="en-US" w:eastAsia="zh-CN" w:bidi="ar"/>
              </w:rPr>
              <w:t>一、</w:t>
            </w:r>
            <w:r>
              <w:rPr>
                <w:rFonts w:hint="eastAsia" w:ascii="宋体" w:hAnsi="宋体" w:eastAsia="宋体" w:cs="宋体"/>
                <w:b w:val="0"/>
                <w:bCs/>
                <w:sz w:val="22"/>
                <w:szCs w:val="20"/>
                <w:vertAlign w:val="baseline"/>
                <w:lang w:val="en-US" w:eastAsia="zh-CN" w:bidi="ar"/>
              </w:rPr>
              <w:t>工程概况：新区建筑面积：</w:t>
            </w:r>
            <w:r>
              <w:rPr>
                <w:rFonts w:hint="eastAsia" w:ascii="宋体" w:hAnsi="宋体" w:eastAsia="宋体" w:cs="宋体"/>
                <w:b w:val="0"/>
                <w:bCs/>
                <w:sz w:val="22"/>
                <w:szCs w:val="20"/>
                <w:u w:val="single"/>
                <w:vertAlign w:val="baseline"/>
                <w:lang w:val="en-US" w:eastAsia="zh-CN" w:bidi="ar"/>
              </w:rPr>
              <w:t>约27000平方</w:t>
            </w:r>
            <w:r>
              <w:rPr>
                <w:rFonts w:hint="eastAsia" w:ascii="宋体" w:hAnsi="宋体" w:eastAsia="宋体" w:cs="宋体"/>
                <w:b w:val="0"/>
                <w:bCs/>
                <w:sz w:val="22"/>
                <w:szCs w:val="20"/>
                <w:u w:val="none"/>
                <w:vertAlign w:val="baseline"/>
                <w:lang w:val="en-US" w:eastAsia="zh-CN" w:bidi="ar"/>
              </w:rPr>
              <w:t>，层数：</w:t>
            </w:r>
            <w:r>
              <w:rPr>
                <w:rFonts w:hint="eastAsia" w:ascii="宋体" w:hAnsi="宋体" w:eastAsia="宋体" w:cs="宋体"/>
                <w:b w:val="0"/>
                <w:bCs/>
                <w:sz w:val="22"/>
                <w:szCs w:val="20"/>
                <w:u w:val="single"/>
                <w:vertAlign w:val="baseline"/>
                <w:lang w:val="en-US" w:eastAsia="zh-CN" w:bidi="ar"/>
              </w:rPr>
              <w:t>门诊5层，住院楼6层，其中地上：5/6 层 地下：住院部地下1层</w:t>
            </w:r>
            <w:r>
              <w:rPr>
                <w:rFonts w:hint="eastAsia" w:ascii="宋体" w:hAnsi="宋体" w:eastAsia="宋体" w:cs="宋体"/>
                <w:b w:val="0"/>
                <w:bCs/>
                <w:sz w:val="22"/>
                <w:szCs w:val="20"/>
                <w:u w:val="none"/>
                <w:vertAlign w:val="baseline"/>
                <w:lang w:val="en-US" w:eastAsia="zh-CN" w:bidi="ar"/>
              </w:rPr>
              <w:t>，使用性质：</w:t>
            </w:r>
            <w:r>
              <w:rPr>
                <w:rFonts w:hint="eastAsia" w:ascii="宋体" w:hAnsi="宋体" w:eastAsia="宋体" w:cs="宋体"/>
                <w:b w:val="0"/>
                <w:bCs/>
                <w:sz w:val="22"/>
                <w:szCs w:val="20"/>
                <w:u w:val="single"/>
                <w:vertAlign w:val="baseline"/>
                <w:lang w:val="en-US" w:eastAsia="zh-CN" w:bidi="ar"/>
              </w:rPr>
              <w:t>业务用房</w:t>
            </w:r>
            <w:r>
              <w:rPr>
                <w:rFonts w:hint="eastAsia" w:ascii="宋体" w:hAnsi="宋体" w:eastAsia="宋体" w:cs="宋体"/>
                <w:b w:val="0"/>
                <w:bCs/>
                <w:sz w:val="22"/>
                <w:szCs w:val="20"/>
                <w:u w:val="none"/>
                <w:vertAlign w:val="baseline"/>
                <w:lang w:val="en-US" w:eastAsia="zh-CN" w:bidi="ar"/>
              </w:rPr>
              <w:t>；</w:t>
            </w:r>
          </w:p>
          <w:p w14:paraId="2C06CBC2">
            <w:pPr>
              <w:rPr>
                <w:rFonts w:hint="eastAsia" w:ascii="宋体" w:hAnsi="宋体" w:eastAsia="宋体" w:cs="宋体"/>
                <w:b w:val="0"/>
                <w:bCs/>
                <w:sz w:val="22"/>
                <w:szCs w:val="20"/>
                <w:u w:val="none"/>
                <w:vertAlign w:val="baseline"/>
                <w:lang w:val="en-US" w:eastAsia="zh-CN" w:bidi="ar"/>
              </w:rPr>
            </w:pPr>
            <w:r>
              <w:rPr>
                <w:rFonts w:hint="eastAsia" w:ascii="宋体" w:hAnsi="宋体" w:eastAsia="宋体" w:cs="宋体"/>
                <w:b w:val="0"/>
                <w:bCs/>
                <w:sz w:val="22"/>
                <w:szCs w:val="20"/>
                <w:vertAlign w:val="baseline"/>
                <w:lang w:val="en-US" w:eastAsia="zh-CN" w:bidi="ar"/>
              </w:rPr>
              <w:t>老区建筑面积：</w:t>
            </w:r>
            <w:r>
              <w:rPr>
                <w:rFonts w:hint="eastAsia" w:ascii="宋体" w:hAnsi="宋体" w:eastAsia="宋体" w:cs="宋体"/>
                <w:b w:val="0"/>
                <w:bCs/>
                <w:sz w:val="22"/>
                <w:szCs w:val="20"/>
                <w:u w:val="single"/>
                <w:vertAlign w:val="baseline"/>
                <w:lang w:val="en-US" w:eastAsia="zh-CN" w:bidi="ar"/>
              </w:rPr>
              <w:t>约1500平方</w:t>
            </w:r>
            <w:r>
              <w:rPr>
                <w:rFonts w:hint="eastAsia" w:ascii="宋体" w:hAnsi="宋体" w:eastAsia="宋体" w:cs="宋体"/>
                <w:b w:val="0"/>
                <w:bCs/>
                <w:sz w:val="22"/>
                <w:szCs w:val="20"/>
                <w:u w:val="none"/>
                <w:vertAlign w:val="baseline"/>
                <w:lang w:val="en-US" w:eastAsia="zh-CN" w:bidi="ar"/>
              </w:rPr>
              <w:t>，层数：</w:t>
            </w:r>
            <w:r>
              <w:rPr>
                <w:rFonts w:hint="eastAsia" w:ascii="宋体" w:hAnsi="宋体" w:eastAsia="宋体" w:cs="宋体"/>
                <w:b w:val="0"/>
                <w:bCs/>
                <w:sz w:val="22"/>
                <w:szCs w:val="20"/>
                <w:u w:val="single"/>
                <w:vertAlign w:val="baseline"/>
                <w:lang w:val="en-US" w:eastAsia="zh-CN" w:bidi="ar"/>
              </w:rPr>
              <w:t xml:space="preserve">6 层 ，其中地上：6层 地下：0层 </w:t>
            </w:r>
            <w:r>
              <w:rPr>
                <w:rFonts w:hint="eastAsia" w:ascii="宋体" w:hAnsi="宋体" w:eastAsia="宋体" w:cs="宋体"/>
                <w:b w:val="0"/>
                <w:bCs/>
                <w:sz w:val="22"/>
                <w:szCs w:val="20"/>
                <w:u w:val="none"/>
                <w:vertAlign w:val="baseline"/>
                <w:lang w:val="en-US" w:eastAsia="zh-CN" w:bidi="ar"/>
              </w:rPr>
              <w:t>，使用性质：</w:t>
            </w:r>
            <w:r>
              <w:rPr>
                <w:rFonts w:hint="eastAsia" w:ascii="宋体" w:hAnsi="宋体" w:eastAsia="宋体" w:cs="宋体"/>
                <w:b w:val="0"/>
                <w:bCs/>
                <w:sz w:val="22"/>
                <w:szCs w:val="20"/>
                <w:u w:val="single"/>
                <w:vertAlign w:val="baseline"/>
                <w:lang w:val="en-US" w:eastAsia="zh-CN" w:bidi="ar"/>
              </w:rPr>
              <w:t xml:space="preserve"> 业务用房 </w:t>
            </w:r>
            <w:r>
              <w:rPr>
                <w:rFonts w:hint="eastAsia" w:ascii="宋体" w:hAnsi="宋体" w:eastAsia="宋体" w:cs="宋体"/>
                <w:b w:val="0"/>
                <w:bCs/>
                <w:sz w:val="22"/>
                <w:szCs w:val="20"/>
                <w:u w:val="none"/>
                <w:vertAlign w:val="baseline"/>
                <w:lang w:val="en-US" w:eastAsia="zh-CN" w:bidi="ar"/>
              </w:rPr>
              <w:t>；</w:t>
            </w:r>
          </w:p>
          <w:p w14:paraId="16FA5CB2">
            <w:pPr>
              <w:pStyle w:val="11"/>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cs="Times New Roman"/>
                <w:sz w:val="24"/>
                <w:lang w:val="en-US" w:eastAsia="zh-CN"/>
              </w:rPr>
              <w:t>二、维保内容：</w:t>
            </w:r>
            <w:r>
              <w:rPr>
                <w:rFonts w:hint="eastAsia" w:ascii="宋体" w:hAnsi="宋体" w:eastAsia="宋体" w:cs="Times New Roman"/>
                <w:sz w:val="24"/>
                <w:lang w:val="en-US" w:eastAsia="zh-CN"/>
              </w:rPr>
              <w:t>资阳市雁江区妇幼保健计划生育服务中心新区（沱东）、老区（和平路）</w:t>
            </w:r>
            <w:r>
              <w:rPr>
                <w:rFonts w:hint="eastAsia" w:ascii="宋体" w:hAnsi="宋体" w:eastAsia="宋体" w:cs="Times New Roman"/>
                <w:sz w:val="24"/>
                <w:lang w:eastAsia="zh-CN"/>
              </w:rPr>
              <w:t>服务区域内火灾自动报警系统、</w:t>
            </w:r>
            <w:r>
              <w:rPr>
                <w:rFonts w:hint="eastAsia" w:ascii="宋体" w:hAnsi="宋体" w:eastAsia="宋体" w:cs="Times New Roman"/>
                <w:sz w:val="24"/>
                <w:lang w:val="en-US" w:eastAsia="zh-CN"/>
              </w:rPr>
              <w:t>消防广播</w:t>
            </w:r>
            <w:r>
              <w:rPr>
                <w:rFonts w:hint="eastAsia" w:ascii="宋体" w:hAnsi="宋体" w:eastAsia="宋体" w:cs="Times New Roman"/>
                <w:sz w:val="24"/>
                <w:lang w:eastAsia="zh-CN"/>
              </w:rPr>
              <w:t>系统、消防联动控制系统、</w:t>
            </w:r>
            <w:r>
              <w:rPr>
                <w:rFonts w:hint="eastAsia" w:ascii="宋体" w:hAnsi="宋体" w:eastAsia="宋体" w:cs="Times New Roman"/>
                <w:sz w:val="24"/>
                <w:lang w:val="en-US" w:eastAsia="zh-CN"/>
              </w:rPr>
              <w:t>防排烟系统，气体灭火系统，电气火灾、防火门监控、消防电源监控系统，防火门级防火卷帘、</w:t>
            </w:r>
            <w:r>
              <w:rPr>
                <w:rFonts w:hint="eastAsia" w:ascii="宋体" w:hAnsi="宋体" w:eastAsia="宋体" w:cs="Times New Roman"/>
                <w:sz w:val="24"/>
                <w:lang w:eastAsia="zh-CN"/>
              </w:rPr>
              <w:t>消火栓系统、自动喷淋灭火系统、应急照明及安全疏散指示系统等的维保服务。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7CB80E2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3年。合同一年一签，经年度考核合格，续签下一年度合同。</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42CC41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1D4E0ED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7AC3323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1464964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31A96D6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3F17636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2EED44E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795DE87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7.2单位负责人为同一人或者存在直接控股、管理关系的不同参选人，不得同时参加本项目的参选；（提供承诺函）</w:t>
            </w:r>
          </w:p>
          <w:p w14:paraId="304070C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7.3在“社会消防技术服务信息系统”（或省级平台）完成备案，服务类型包含消防设施维护保养检测。（提供截图）</w:t>
            </w:r>
          </w:p>
          <w:p w14:paraId="711FD930">
            <w:pPr>
              <w:numPr>
                <w:ilvl w:val="0"/>
                <w:numId w:val="0"/>
              </w:numPr>
              <w:rPr>
                <w:rFonts w:hint="eastAsia"/>
                <w:lang w:val="en-US" w:eastAsia="zh-CN"/>
              </w:rPr>
            </w:pPr>
            <w:r>
              <w:rPr>
                <w:rFonts w:hint="eastAsia" w:ascii="宋体" w:hAnsi="宋体" w:eastAsia="宋体" w:cs="宋体"/>
                <w:color w:val="000000"/>
                <w:kern w:val="0"/>
                <w:sz w:val="24"/>
                <w:szCs w:val="24"/>
                <w:lang w:val="en-US" w:eastAsia="zh-CN" w:bidi="ar"/>
              </w:rPr>
              <w:t>7.4本项目不接受联合体参选；不允许项目转包或分包。（提供承诺函）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p>
        </w:tc>
        <w:tc>
          <w:tcPr>
            <w:tcW w:w="6432" w:type="dxa"/>
            <w:tcBorders>
              <w:left w:val="single" w:color="auto" w:sz="4" w:space="0"/>
              <w:right w:val="single" w:color="auto" w:sz="8" w:space="0"/>
            </w:tcBorders>
            <w:noWrap w:val="0"/>
            <w:vAlign w:val="center"/>
          </w:tcPr>
          <w:p w14:paraId="758C0C6F">
            <w:pPr>
              <w:rPr>
                <w:rFonts w:hint="eastAsia" w:ascii="宋体" w:hAnsi="宋体" w:eastAsia="宋体" w:cs="宋体"/>
                <w:b/>
                <w:bCs w:val="0"/>
                <w:color w:val="auto"/>
                <w:sz w:val="22"/>
                <w:szCs w:val="20"/>
                <w:highlight w:val="none"/>
                <w:vertAlign w:val="baseline"/>
                <w:lang w:val="en-US" w:eastAsia="zh-CN" w:bidi="ar"/>
              </w:rPr>
            </w:pPr>
            <w:r>
              <w:rPr>
                <w:rFonts w:hint="eastAsia" w:ascii="宋体" w:hAnsi="宋体" w:cs="宋体"/>
                <w:b w:val="0"/>
                <w:bCs/>
                <w:sz w:val="22"/>
                <w:szCs w:val="20"/>
                <w:u w:val="none"/>
                <w:vertAlign w:val="baseline"/>
                <w:lang w:val="en-US" w:eastAsia="zh-CN" w:bidi="ar"/>
              </w:rPr>
              <w:t>一、</w:t>
            </w:r>
            <w:r>
              <w:rPr>
                <w:rFonts w:hint="eastAsia" w:ascii="宋体" w:hAnsi="宋体" w:eastAsia="宋体" w:cs="宋体"/>
                <w:b/>
                <w:bCs w:val="0"/>
                <w:color w:val="auto"/>
                <w:sz w:val="22"/>
                <w:szCs w:val="20"/>
                <w:highlight w:val="none"/>
                <w:vertAlign w:val="baseline"/>
                <w:lang w:val="en-US" w:eastAsia="zh-CN" w:bidi="ar"/>
              </w:rPr>
              <w:t>服务</w:t>
            </w:r>
            <w:r>
              <w:rPr>
                <w:rFonts w:hint="eastAsia" w:ascii="宋体" w:hAnsi="宋体" w:cs="宋体"/>
                <w:b/>
                <w:bCs w:val="0"/>
                <w:color w:val="auto"/>
                <w:sz w:val="22"/>
                <w:szCs w:val="20"/>
                <w:highlight w:val="none"/>
                <w:vertAlign w:val="baseline"/>
                <w:lang w:val="en-US" w:eastAsia="zh-CN" w:bidi="ar"/>
              </w:rPr>
              <w:t>要求</w:t>
            </w:r>
          </w:p>
          <w:p w14:paraId="05E8C1F0">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1.维护保养、检修计划服务范围包含且不限于以下消防设施设备及相应系统： </w:t>
            </w:r>
          </w:p>
          <w:p w14:paraId="39281B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 消防联动控制系统； </w:t>
            </w:r>
          </w:p>
          <w:p w14:paraId="419407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 火灾自动报警系统； </w:t>
            </w:r>
          </w:p>
          <w:p w14:paraId="589F96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 消防通讯及应急广播系统； </w:t>
            </w:r>
          </w:p>
          <w:p w14:paraId="32F398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1.4 消防给水及室内外消火栓系统； </w:t>
            </w:r>
          </w:p>
          <w:p w14:paraId="6C74E66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1.5 自动喷水灭火系统； </w:t>
            </w:r>
          </w:p>
          <w:p w14:paraId="33CA6F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1.6 气体灭火系统； </w:t>
            </w:r>
          </w:p>
          <w:p w14:paraId="0ED8FC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1.7 防排烟系统； </w:t>
            </w:r>
          </w:p>
          <w:p w14:paraId="66E6B5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1.8 应急照明和疏散指示标志系统； </w:t>
            </w:r>
          </w:p>
          <w:p w14:paraId="2A752F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1.9 防火分隔设施(防火卷帘门，防火门)； </w:t>
            </w:r>
          </w:p>
          <w:p w14:paraId="3F3D10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1.10 电气火灾监控系统等院内所有相关消防系统。 </w:t>
            </w:r>
          </w:p>
          <w:p w14:paraId="0C981DFA">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2.消防设施维护保养的内容： </w:t>
            </w:r>
          </w:p>
          <w:p w14:paraId="415E3C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2.1 消防控制室 </w:t>
            </w:r>
          </w:p>
          <w:p w14:paraId="0D4841BE">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火灾报警控制器能够显示火灾探测器、火灾显示盘、手动火灾报警按钮的正常工作状态、火灾报警状态、屏蔽状态及故障状态等相关信息，能够控制火灾声光警报器启\停。 </w:t>
            </w:r>
          </w:p>
          <w:p w14:paraId="5BFEA06A">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消防联动控制设备能够将各类消防设施及其设备的状态信息传输到图形显示装置；能够控制和显示各类消防设施的电源工作状态、各类设备及其组件的启\停等运行状态和故障状态，显示具有控制功能、信号反馈功能的阀门、监控装置的正常工作状态和动作状态；能够控制具有自动控制、远程控制功能的消防设备的启\停，并接收其反馈信号。 </w:t>
            </w:r>
          </w:p>
          <w:p w14:paraId="034308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 自动报警系统 </w:t>
            </w:r>
          </w:p>
          <w:p w14:paraId="3D7548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 每月检查采购人全院范围内的火灾报警控制器的功能及分片区测试火灾探测器和手动报警按钮的报警功能，保证全年全覆盖。 </w:t>
            </w:r>
          </w:p>
          <w:p w14:paraId="151346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2.2.2 每季度采用专用检测仪器进行火灾报警系统联动功能测试，确保消防现场设备动作及反馈功能正常，保证一年内全覆盖。 </w:t>
            </w:r>
          </w:p>
          <w:p w14:paraId="573053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2.2.3 每季度试验全部火灾警报器的声光显示。 </w:t>
            </w:r>
          </w:p>
          <w:p w14:paraId="15E2FC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2.2.4 每季度试验全部的水流指示器、压力开关等报警功能及反馈信息。 </w:t>
            </w:r>
          </w:p>
          <w:p w14:paraId="1CB5EE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2.2.5 每季度对采购人全院的主备电源进行 1 次自动切换功能。 </w:t>
            </w:r>
          </w:p>
          <w:p w14:paraId="6EA9A09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2.2.6 每季度抽验采购人全院的电动防火门、防火卷帘门的控制功能(不少于总数的25%),全年全覆盖。 </w:t>
            </w:r>
          </w:p>
          <w:p w14:paraId="4ADD68E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2.2.7 每季度在采购人全院选层试验消防应急广播设备，保证一年内全部检查完成。 </w:t>
            </w:r>
          </w:p>
          <w:p w14:paraId="7791C6B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2.2.8 每季度检查采购人全院的消防电梯迫降功能。 </w:t>
            </w:r>
          </w:p>
          <w:p w14:paraId="2F6CAF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2.2.9 每季度抽取总数不少于25%的消防电话和电话插孔在消防控制室进行对讲通话试验，并保证一年内全部检查完成。 </w:t>
            </w:r>
          </w:p>
          <w:p w14:paraId="6885718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2.2.10 每年对采购人全院范围内检测自动/手动排烟阀、关闭电动防火阀和空调系统。 </w:t>
            </w:r>
          </w:p>
          <w:p w14:paraId="77C7DE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2.2.11 每年试验采购人全院强制切断非消防电源功能。 </w:t>
            </w:r>
          </w:p>
          <w:p w14:paraId="5F06E1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 消火栓系统 </w:t>
            </w:r>
          </w:p>
          <w:p w14:paraId="003119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2.3.1 每月对全部消防水泵进行手动启动运转试验，并对消防泵进行消火栓按钮联动启泵试验。 </w:t>
            </w:r>
          </w:p>
          <w:p w14:paraId="6D4593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2.3.2 每月对全部室内消火栓和室外消火栓进行检查，发现问题及时处理。 </w:t>
            </w:r>
          </w:p>
          <w:p w14:paraId="5D841C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2.3.3 每季度用专用扳手转动室内外消火栓启闭杆，观察其灵活性，必要时加注润滑油。 </w:t>
            </w:r>
          </w:p>
          <w:p w14:paraId="1E1AC92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2.3.4 每季度对采购人全院范围内最不利点消火栓进行静压压力试验。 </w:t>
            </w:r>
          </w:p>
          <w:p w14:paraId="248415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2.3.5 每半年对采购人全院范围内室内消火栓箱内的水枪、水带等设备进行检查，发现问题及时通报用户。 </w:t>
            </w:r>
          </w:p>
          <w:p w14:paraId="6F89BF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2.3.6 每半年对采购人全院范围内水泵接合器的接口及附件进行检查，并测试止回阀止回效果。 </w:t>
            </w:r>
          </w:p>
          <w:p w14:paraId="4C0B5FD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2.3.7 每年抽查消火栓的出水及动压情况，对采购人全院范围内的消火栓每年进行出水检查。 </w:t>
            </w:r>
          </w:p>
          <w:p w14:paraId="0CEB2B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 自动喷水灭火系统 </w:t>
            </w:r>
          </w:p>
          <w:p w14:paraId="579BE05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2.4.1 每月对采购人全院范围内水源控制阀、报警阀组进行检查，保证系统各种阀门处于工作状态。 </w:t>
            </w:r>
          </w:p>
          <w:p w14:paraId="389480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2.4.2 每月对采购人全院范围内喷淋水泵进行手动启动运转试验一次。 </w:t>
            </w:r>
          </w:p>
          <w:p w14:paraId="56509B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2.4.3 每月对采购人全院范围内湿式报警阀组压力开关试验一次，动作失常时马上通知采购人及时更换。 </w:t>
            </w:r>
          </w:p>
          <w:p w14:paraId="2D567B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2.4.4 每月对采购人全院范围内喷头进行外观检查，发现有不正常的喷头及时通知采购人后进行更换，当喷头上有异物时及时清除。 </w:t>
            </w:r>
          </w:p>
          <w:p w14:paraId="29ED194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2.4.5 每季度对采购人全院范围内湿式报警阀旁的放水试验阀进行泄水试验，验证湿式报警阀的供水能力。 </w:t>
            </w:r>
          </w:p>
          <w:p w14:paraId="640E60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2.4.6 每半年对采购人全院范围内利用末端试水装置对水流指示器进行试验。 </w:t>
            </w:r>
          </w:p>
          <w:p w14:paraId="0F3CF5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2.4.7 每年对采购人全院范围内水泵接合器的接口及附件进行检查并进行维护。 </w:t>
            </w:r>
          </w:p>
          <w:p w14:paraId="1A9852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2.4.8 每年对采购人全院范围内消防水池，消防水箱及消防气压给水设备的消防储水位及消防气压给水设备的压力进行检查。 </w:t>
            </w:r>
          </w:p>
          <w:p w14:paraId="531E6C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 机械防排烟系统 </w:t>
            </w:r>
          </w:p>
          <w:p w14:paraId="14B8337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2.5.1 每月在采购人全院范围内检查送风、排烟机房工作环境以及送风机、排烟机、电源控制柜、送风阀、排烟阀等是否处于正常完好状态。 </w:t>
            </w:r>
          </w:p>
          <w:p w14:paraId="4D9AD33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2.5.2 每月手动启动防排烟风机，观察风机运行状态及信号反馈情况，如发现问题及时通报采购人。 </w:t>
            </w:r>
          </w:p>
          <w:p w14:paraId="566A9D3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2.5.3 每半年手动或自动打开采购人全院范围内排烟阀、启/停送风机、排烟机查看其性能。 </w:t>
            </w:r>
          </w:p>
          <w:p w14:paraId="0E5C97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2.5.4 每半年手动或自动方式关闭采购人全院范围内空调通风系统、电动防火阀试验，检查其性能。 </w:t>
            </w:r>
          </w:p>
          <w:p w14:paraId="01BD93E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2.5.5 每年对全部防烟排烟系统进行一次联动试验和性能检测。 </w:t>
            </w:r>
          </w:p>
          <w:p w14:paraId="40C82D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 应急照明疏散指示标志 </w:t>
            </w:r>
          </w:p>
          <w:p w14:paraId="2C45B6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2.6.1 每月检查采购人全院范围内安全出口、疏散通道、重要场所的应急照明和疏散指示标志是否处于正常完好使用状态，对损坏的进行维修更换。 </w:t>
            </w:r>
          </w:p>
          <w:p w14:paraId="488C25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2.6.2 每季度检查采购人全院范围内消防应急灯具、应急照明集中电源和应急照明控制器的指示状态。 </w:t>
            </w:r>
          </w:p>
          <w:p w14:paraId="3017E9E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2.6.3 每季度检查全部转入应急工作状态的控制功能。 </w:t>
            </w:r>
          </w:p>
          <w:p w14:paraId="2009F1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2.6.4 每年试验采购人全院范围内自动和手动应急功能，进行与火灾自动报警系统的联动试验。 </w:t>
            </w:r>
          </w:p>
          <w:p w14:paraId="4F87A4F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 气体灭火系统 </w:t>
            </w:r>
          </w:p>
          <w:p w14:paraId="6B266E5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2.7.1 每月对采购人全院范围内气体灭火系统全部部件进行外观检查。 </w:t>
            </w:r>
          </w:p>
          <w:p w14:paraId="5467DB5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2.7.2 每月检查全部气体灭火控制盘的指示灯应正常，各开关位置应正确，各连线应无松动。 </w:t>
            </w:r>
          </w:p>
          <w:p w14:paraId="027CD83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2.7.3 每月检查全部气体灭火系统储存容器的压力、气动型驱动装置的气动源的压力应保持在正常区域，如压力偏低及时告知用户。 </w:t>
            </w:r>
          </w:p>
          <w:p w14:paraId="43D533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2.7.4 每季度检查全部连接管应无变形、裂纹及老化。 </w:t>
            </w:r>
          </w:p>
          <w:p w14:paraId="1C660E6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2.7.5 每季度检查全部各喷嘴孔口应无堵塞。 </w:t>
            </w:r>
          </w:p>
          <w:p w14:paraId="351C339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2.7.6 每年在采购人全院范围内对气体灭火系统进行模拟启动测试和主备量模拟切换操作试验。 </w:t>
            </w:r>
          </w:p>
          <w:p w14:paraId="78CED8F2">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3.维保保养工作要求 </w:t>
            </w:r>
          </w:p>
          <w:p w14:paraId="1260013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 每月按计划进行对消防设施设备的检查，做好相应记录并填写相关表格，包括： </w:t>
            </w:r>
          </w:p>
          <w:p w14:paraId="3D549DD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3.1.1 点动测试：主要测试为探测器、手报、声光、消火栓报警按钮、卷帘门、排烟阀、正压口、消防风机、消防广播、大空间自动喷水灭火系统的点动测试直启控制测试。 </w:t>
            </w:r>
          </w:p>
          <w:p w14:paraId="6E6D24C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3.1.2 联动测试：主要测试项目为所在防火分区的声光报警、广播、电源强切、非消防电强切、电梯联动迫降启动情况。 </w:t>
            </w:r>
          </w:p>
          <w:p w14:paraId="05A58BB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3.1.3 水系统测试：主要测试项目为消火栓按钮、水泵启动及远程启动；消防水系统末端放水测试动压、报警阀室放水测试压力开关、警铃和报警情况。 </w:t>
            </w:r>
          </w:p>
          <w:p w14:paraId="43637FE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3.1.4 应急照明及疏散系统测试：主要测试维保区域内消防应急照明及疏散系统的启动和工作情况，做好损坏灯具的维修统计。 </w:t>
            </w:r>
          </w:p>
          <w:p w14:paraId="21E2F3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 消防设施的日常检查、检测、保养服务： </w:t>
            </w:r>
          </w:p>
          <w:p w14:paraId="0CD179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 火灾自动报警系统的保养 </w:t>
            </w:r>
          </w:p>
          <w:p w14:paraId="349F802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（1）火灾报警控制主机日常运行情况检查和功能检测。 </w:t>
            </w:r>
          </w:p>
          <w:p w14:paraId="65ECE8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（2）烟感、温感、声光报警器、手动报警按钮、消火栓按钮、模块的功能检测。 </w:t>
            </w:r>
          </w:p>
          <w:p w14:paraId="53582F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（3）消防应急广播系统的维护保养；扬声器、消防功放的维护、保养、保洁，确保背景音乐与消防功放切换正常。 </w:t>
            </w:r>
          </w:p>
          <w:p w14:paraId="0B7796A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（4）消防通讯系统的检查、测试，控制室主机与各分机进行通话试验。 </w:t>
            </w:r>
          </w:p>
          <w:p w14:paraId="6C6B59B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（5）消防主机总线线路、24V 控制线路、备用电源的电气参数(电压、电阻、接地、短路等)检查测试。 </w:t>
            </w:r>
          </w:p>
          <w:p w14:paraId="4F97539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3.2.2 联动系统保养 </w:t>
            </w:r>
          </w:p>
          <w:p w14:paraId="68AAB3F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（1）检查维护联动各消防设备控制模块联动是否动作； </w:t>
            </w:r>
          </w:p>
          <w:p w14:paraId="33C2B0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（2）消防 24V 控制电源及线路的检查、测试、确保设备、线路无接地发热过载现象。 </w:t>
            </w:r>
          </w:p>
          <w:p w14:paraId="08C2D9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（3）应急广播系统控制模块联动是否正常； </w:t>
            </w:r>
          </w:p>
          <w:p w14:paraId="1939FD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（4）相应消火栓泵、喷淋泵、是否能联动动作。 </w:t>
            </w:r>
          </w:p>
          <w:p w14:paraId="02AF85A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3.2.3 水喷淋系统的保养 </w:t>
            </w:r>
          </w:p>
          <w:p w14:paraId="73A182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（1）喷淋及稳压泵启动信号检查，消防泵运行情况检查、主备泵工作切换检查。 </w:t>
            </w:r>
          </w:p>
          <w:p w14:paraId="268E5B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（2）水泵控制柜指示灯、开关按钮功能检查、测试。 </w:t>
            </w:r>
          </w:p>
          <w:p w14:paraId="590A6F7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（3）闸阀、止回阀、蝶阀、橡胶软接头、湿式报警阀、压力开关、信号阀、喷头、水流指示器、湿式报警器等相关设备外观检查，日常保养维护。 </w:t>
            </w:r>
          </w:p>
          <w:p w14:paraId="4ABD90D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3.2.4 消火栓系统的保养 </w:t>
            </w:r>
          </w:p>
          <w:p w14:paraId="39E657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（1）消火栓水泵、稳压泵运行检查，主备泵工作切换测试。 </w:t>
            </w:r>
          </w:p>
          <w:p w14:paraId="204A098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（2）消火栓控制柜指示灯、开关按钮功能检查、测试。 </w:t>
            </w:r>
          </w:p>
          <w:p w14:paraId="54784A5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（3）闸阀、止回阀、蝶阀、减压阀、室内外消防栓外观检查、栓喉防腐处理，等日常保养维护； </w:t>
            </w:r>
          </w:p>
          <w:p w14:paraId="65CC3F3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（4）室内消火栓水压测试。 </w:t>
            </w:r>
          </w:p>
          <w:p w14:paraId="29CB9B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（5）室外消火栓外观检查，放水喷射试验，水压测试。 </w:t>
            </w:r>
          </w:p>
          <w:p w14:paraId="588206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3.2.5 防火分隔系统的保养 </w:t>
            </w:r>
          </w:p>
          <w:p w14:paraId="7F2A1F4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防火卷帘手动、自动升降检查，现场、远程启降测试，信号反馈检查及机械运转部位润滑、除尘防锈等。 </w:t>
            </w:r>
          </w:p>
          <w:p w14:paraId="57656E9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3.2.6 其他要求 </w:t>
            </w:r>
          </w:p>
          <w:p w14:paraId="0F137CB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（1）室外消火栓系统、应急灯照明及疏散标志、防火门及防火卷帘门及其他附属消防设施设备维护保养标准参照相关规范执行。 </w:t>
            </w:r>
          </w:p>
          <w:p w14:paraId="43E319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（2）协助采购人全面消防安全检查，配合提供火灾隐患检测并提出书面报告。 </w:t>
            </w:r>
          </w:p>
          <w:p w14:paraId="19077F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（3）遇重大节假日或重大政治活动、重大检查，供应商接到通知后立即派人进行消防设施进行维护检查，保证设施完好并配合检查。 </w:t>
            </w:r>
          </w:p>
          <w:p w14:paraId="199DD2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（4）协助医院安全管理部门拟定消防整改方案，并对消防设施的新、改、扩建和大修改造项目提供技术支撑。 </w:t>
            </w:r>
          </w:p>
          <w:p w14:paraId="77953E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4.拟派项目成员</w:t>
            </w:r>
            <w:r>
              <w:rPr>
                <w:rFonts w:hint="eastAsia" w:ascii="宋体" w:hAnsi="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须提供拟派项目成员有效期内的身份证、相关证书、职称证、劳动合同或 2025 年任意三个月投标供应商为其缴纳的社保证明材料等作为证明材料，证明材料不全或未提供的，作无效投标处理</w:t>
            </w:r>
            <w:r>
              <w:rPr>
                <w:rFonts w:hint="eastAsia" w:ascii="宋体" w:hAnsi="宋体" w:cs="宋体"/>
                <w:b/>
                <w:bCs/>
                <w:color w:val="000000"/>
                <w:kern w:val="0"/>
                <w:sz w:val="24"/>
                <w:szCs w:val="24"/>
                <w:lang w:val="en-US" w:eastAsia="zh-CN" w:bidi="ar"/>
              </w:rPr>
              <w:t>。</w:t>
            </w:r>
          </w:p>
          <w:p w14:paraId="6FD23FA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5.在维护过程中，成交供应商认真完成各项消防系统电气设施检测、维修工作，保证采购人消防系统设备正常稳定运行。 </w:t>
            </w:r>
          </w:p>
          <w:p w14:paraId="43ACD58D">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6.成交供应商以现有消防系统设施运行状况为基础，进行维护保养，随时接受</w:t>
            </w:r>
            <w:r>
              <w:rPr>
                <w:rFonts w:hint="eastAsia" w:ascii="宋体" w:hAnsi="宋体" w:cs="宋体"/>
                <w:color w:val="000000"/>
                <w:kern w:val="0"/>
                <w:sz w:val="24"/>
                <w:szCs w:val="24"/>
                <w:lang w:val="en-US" w:eastAsia="zh-CN" w:bidi="ar"/>
              </w:rPr>
              <w:t>采购人</w:t>
            </w:r>
            <w:r>
              <w:rPr>
                <w:rFonts w:hint="eastAsia" w:ascii="宋体" w:hAnsi="宋体" w:eastAsia="宋体" w:cs="宋体"/>
                <w:color w:val="000000"/>
                <w:kern w:val="0"/>
                <w:sz w:val="24"/>
                <w:szCs w:val="24"/>
                <w:lang w:val="en-US" w:eastAsia="zh-CN" w:bidi="ar"/>
              </w:rPr>
              <w:t>及其</w:t>
            </w:r>
            <w:r>
              <w:rPr>
                <w:rFonts w:hint="eastAsia" w:ascii="宋体" w:hAnsi="宋体" w:cs="宋体"/>
                <w:color w:val="000000"/>
                <w:kern w:val="0"/>
                <w:sz w:val="24"/>
                <w:szCs w:val="24"/>
                <w:lang w:val="en-US" w:eastAsia="zh-CN" w:bidi="ar"/>
              </w:rPr>
              <w:t>管理部门</w:t>
            </w:r>
            <w:r>
              <w:rPr>
                <w:rFonts w:hint="eastAsia" w:ascii="宋体" w:hAnsi="宋体" w:eastAsia="宋体" w:cs="宋体"/>
                <w:color w:val="000000"/>
                <w:kern w:val="0"/>
                <w:sz w:val="24"/>
                <w:szCs w:val="24"/>
                <w:lang w:val="en-US" w:eastAsia="zh-CN" w:bidi="ar"/>
              </w:rPr>
              <w:t xml:space="preserve">的检查检验，若发现不合格，必须按采购人要求限时返工、修改，承担自身原因导致返工、修理的费用。因采购人错误指导，或不正确纠正或其它非成交供应商原因引起的经济支出由采购人承担。 </w:t>
            </w:r>
          </w:p>
          <w:p w14:paraId="6E1B3DE6">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7.成交供应商保证采购人系统平台和各种设备的运行安全，因成交供应商维保操作不当，造成损坏的，要及时修复或赔偿。 </w:t>
            </w:r>
          </w:p>
          <w:p w14:paraId="241BBB54">
            <w:pPr>
              <w:keepNext w:val="0"/>
              <w:keepLines w:val="0"/>
              <w:widowControl/>
              <w:suppressLineNumbers w:val="0"/>
              <w:jc w:val="left"/>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 xml:space="preserve">8.成交供应商要做好保密工作，配合采购人做好消防系统和存储信息的安全使用。 </w:t>
            </w:r>
            <w:r>
              <w:rPr>
                <w:rFonts w:hint="eastAsia" w:ascii="宋体" w:hAnsi="宋体" w:cs="宋体"/>
                <w:b/>
                <w:bCs/>
                <w:color w:val="000000"/>
                <w:kern w:val="0"/>
                <w:sz w:val="24"/>
                <w:szCs w:val="24"/>
                <w:lang w:val="en-US" w:eastAsia="zh-CN" w:bidi="ar"/>
              </w:rPr>
              <w:t>（提供承诺函）</w:t>
            </w:r>
          </w:p>
          <w:p w14:paraId="6AC405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9.成交供应商须按照采购人要求向采购人提供</w:t>
            </w:r>
            <w:r>
              <w:rPr>
                <w:rFonts w:hint="eastAsia" w:ascii="宋体" w:hAnsi="宋体" w:eastAsia="宋体" w:cs="宋体"/>
                <w:snapToGrid/>
                <w:kern w:val="2"/>
                <w:sz w:val="24"/>
                <w:szCs w:val="24"/>
                <w:lang w:val="en-US" w:eastAsia="zh-CN" w:bidi="ar-SA"/>
              </w:rPr>
              <w:t>月检及年度</w:t>
            </w:r>
            <w:r>
              <w:rPr>
                <w:rFonts w:hint="eastAsia" w:ascii="宋体" w:hAnsi="宋体" w:eastAsia="宋体" w:cs="宋体"/>
                <w:color w:val="000000"/>
                <w:kern w:val="0"/>
                <w:sz w:val="24"/>
                <w:szCs w:val="24"/>
                <w:lang w:val="en-US" w:eastAsia="zh-CN" w:bidi="ar"/>
              </w:rPr>
              <w:t>维保服务工作报告。</w:t>
            </w:r>
          </w:p>
          <w:p w14:paraId="4BE90BE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10.成交供应商需承诺：</w:t>
            </w:r>
            <w:r>
              <w:rPr>
                <w:rFonts w:hint="eastAsia" w:ascii="宋体" w:hAnsi="宋体" w:eastAsia="宋体" w:cs="宋体"/>
                <w:color w:val="auto"/>
                <w:sz w:val="24"/>
                <w:szCs w:val="24"/>
                <w:highlight w:val="none"/>
                <w:lang w:val="en-US" w:eastAsia="zh-CN"/>
              </w:rPr>
              <w:t>单件设备或材料200元</w:t>
            </w:r>
            <w:r>
              <w:rPr>
                <w:rFonts w:hint="eastAsia" w:ascii="宋体" w:hAnsi="宋体" w:cs="宋体"/>
                <w:color w:val="auto"/>
                <w:sz w:val="24"/>
                <w:szCs w:val="24"/>
                <w:highlight w:val="none"/>
                <w:lang w:val="en-US" w:eastAsia="zh-CN"/>
              </w:rPr>
              <w:t>以内</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每月</w:t>
            </w:r>
            <w:r>
              <w:rPr>
                <w:rFonts w:hint="eastAsia" w:ascii="宋体" w:hAnsi="宋体" w:eastAsia="宋体" w:cs="宋体"/>
                <w:color w:val="auto"/>
                <w:sz w:val="24"/>
                <w:szCs w:val="24"/>
                <w:highlight w:val="none"/>
                <w:lang w:val="en-US" w:eastAsia="zh-CN"/>
              </w:rPr>
              <w:t>免费提供更换</w:t>
            </w:r>
            <w:r>
              <w:rPr>
                <w:rFonts w:hint="eastAsia" w:ascii="宋体" w:hAnsi="宋体" w:eastAsia="宋体" w:cs="宋体"/>
                <w:color w:val="000000"/>
                <w:kern w:val="0"/>
                <w:sz w:val="24"/>
                <w:szCs w:val="24"/>
                <w:lang w:val="en-US" w:eastAsia="zh-CN" w:bidi="ar"/>
              </w:rPr>
              <w:t>。</w:t>
            </w:r>
            <w:r>
              <w:rPr>
                <w:rFonts w:hint="eastAsia" w:ascii="宋体" w:hAnsi="宋体" w:cs="宋体"/>
                <w:b/>
                <w:bCs/>
                <w:color w:val="000000"/>
                <w:kern w:val="0"/>
                <w:sz w:val="24"/>
                <w:szCs w:val="24"/>
                <w:lang w:val="en-US" w:eastAsia="zh-CN" w:bidi="ar"/>
              </w:rPr>
              <w:t>（提供承诺函）</w:t>
            </w:r>
          </w:p>
          <w:p w14:paraId="5A0153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ascii="仿宋_GB2312" w:hAnsi="仿宋_GB2312" w:eastAsia="仿宋_GB2312" w:cs="仿宋_GB2312"/>
                <w:sz w:val="24"/>
                <w:szCs w:val="24"/>
              </w:rPr>
              <w:t>★</w:t>
            </w:r>
            <w:r>
              <w:rPr>
                <w:rFonts w:hint="eastAsia" w:ascii="宋体" w:hAnsi="宋体" w:eastAsia="宋体" w:cs="宋体"/>
                <w:color w:val="000000"/>
                <w:kern w:val="0"/>
                <w:sz w:val="24"/>
                <w:szCs w:val="24"/>
                <w:lang w:val="en-US" w:eastAsia="zh-CN" w:bidi="ar"/>
              </w:rPr>
              <w:t>11.紧急排障。消防设施出现紧急故障时，维保方接到通知5分钟内响应，30分钟内指派专业技术人赶到现场，12小时内检修排除故障。对影响整个系统的大故障，要求维修人员加班加点，尽快排除故障，恢复系统正常运行。</w:t>
            </w:r>
            <w:r>
              <w:rPr>
                <w:rFonts w:hint="eastAsia" w:ascii="宋体" w:hAnsi="宋体" w:cs="宋体"/>
                <w:b/>
                <w:bCs/>
                <w:color w:val="000000"/>
                <w:kern w:val="0"/>
                <w:sz w:val="24"/>
                <w:szCs w:val="24"/>
                <w:lang w:val="en-US" w:eastAsia="zh-CN" w:bidi="ar"/>
              </w:rPr>
              <w:t>（提供承诺函）</w:t>
            </w:r>
          </w:p>
          <w:p w14:paraId="25954595">
            <w:pPr>
              <w:widowControl w:val="0"/>
              <w:kinsoku/>
              <w:autoSpaceDE/>
              <w:autoSpaceDN/>
              <w:adjustRightInd/>
              <w:snapToGrid/>
              <w:spacing w:line="360" w:lineRule="auto"/>
              <w:jc w:val="both"/>
              <w:textAlignment w:val="auto"/>
              <w:rPr>
                <w:rFonts w:hint="eastAsia" w:ascii="宋体" w:hAnsi="宋体" w:cs="宋体"/>
                <w:b/>
                <w:bCs/>
                <w:snapToGrid/>
                <w:kern w:val="2"/>
                <w:sz w:val="24"/>
                <w:szCs w:val="24"/>
                <w:lang w:val="en-US" w:eastAsia="zh-CN" w:bidi="ar-SA"/>
              </w:rPr>
            </w:pPr>
            <w:r>
              <w:rPr>
                <w:rFonts w:hint="eastAsia" w:ascii="宋体" w:hAnsi="宋体" w:cs="宋体"/>
                <w:b/>
                <w:bCs/>
                <w:snapToGrid/>
                <w:kern w:val="2"/>
                <w:sz w:val="24"/>
                <w:szCs w:val="24"/>
                <w:lang w:val="en-US" w:eastAsia="zh-CN" w:bidi="ar-SA"/>
              </w:rPr>
              <w:t>二、考核方案</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133"/>
              <w:gridCol w:w="3449"/>
              <w:gridCol w:w="530"/>
              <w:gridCol w:w="465"/>
            </w:tblGrid>
            <w:tr w14:paraId="6308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000" w:type="pct"/>
                  <w:gridSpan w:val="5"/>
                  <w:tcBorders>
                    <w:top w:val="nil"/>
                    <w:left w:val="nil"/>
                    <w:bottom w:val="nil"/>
                    <w:right w:val="nil"/>
                  </w:tcBorders>
                  <w:shd w:val="clear" w:color="auto" w:fill="auto"/>
                  <w:vAlign w:val="center"/>
                </w:tcPr>
                <w:p w14:paraId="7A6F1ED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8"/>
                      <w:szCs w:val="28"/>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消防维保工作考核评分表</w:t>
                  </w:r>
                </w:p>
              </w:tc>
            </w:tr>
            <w:tr w14:paraId="13BD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000" w:type="pct"/>
                  <w:gridSpan w:val="5"/>
                  <w:tcBorders>
                    <w:top w:val="nil"/>
                    <w:left w:val="nil"/>
                    <w:bottom w:val="nil"/>
                    <w:right w:val="nil"/>
                  </w:tcBorders>
                  <w:shd w:val="clear" w:color="auto" w:fill="auto"/>
                  <w:vAlign w:val="center"/>
                </w:tcPr>
                <w:p w14:paraId="7771458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公司名称：                                                  时间：</w:t>
                  </w:r>
                </w:p>
              </w:tc>
            </w:tr>
            <w:tr w14:paraId="743E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D69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考核项目</w:t>
                  </w:r>
                </w:p>
              </w:tc>
              <w:tc>
                <w:tcPr>
                  <w:tcW w:w="3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6F0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考核内容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94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扣分值</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86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得分</w:t>
                  </w:r>
                </w:p>
              </w:tc>
            </w:tr>
            <w:tr w14:paraId="2B63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nil"/>
                    <w:left w:val="single" w:color="000000" w:sz="4" w:space="0"/>
                    <w:bottom w:val="single" w:color="000000" w:sz="4" w:space="0"/>
                    <w:right w:val="single" w:color="000000" w:sz="4" w:space="0"/>
                  </w:tcBorders>
                  <w:shd w:val="clear" w:color="auto" w:fill="auto"/>
                  <w:vAlign w:val="center"/>
                </w:tcPr>
                <w:p w14:paraId="5D5CA9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维保单位人员情况</w:t>
                  </w:r>
                </w:p>
              </w:tc>
              <w:tc>
                <w:tcPr>
                  <w:tcW w:w="911" w:type="pct"/>
                  <w:tcBorders>
                    <w:top w:val="nil"/>
                    <w:left w:val="single" w:color="000000" w:sz="4" w:space="0"/>
                    <w:bottom w:val="single" w:color="000000" w:sz="4" w:space="0"/>
                    <w:right w:val="single" w:color="000000" w:sz="4" w:space="0"/>
                  </w:tcBorders>
                  <w:shd w:val="clear" w:color="auto" w:fill="auto"/>
                  <w:vAlign w:val="center"/>
                </w:tcPr>
                <w:p w14:paraId="3D3B1A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维保人员人数</w:t>
                  </w:r>
                </w:p>
              </w:tc>
              <w:tc>
                <w:tcPr>
                  <w:tcW w:w="2773" w:type="pct"/>
                  <w:tcBorders>
                    <w:top w:val="nil"/>
                    <w:left w:val="single" w:color="000000" w:sz="4" w:space="0"/>
                    <w:bottom w:val="single" w:color="000000" w:sz="4" w:space="0"/>
                    <w:right w:val="single" w:color="000000" w:sz="4" w:space="0"/>
                  </w:tcBorders>
                  <w:shd w:val="clear" w:color="auto" w:fill="auto"/>
                  <w:vAlign w:val="center"/>
                </w:tcPr>
                <w:p w14:paraId="6FABA16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周检/月检/季检人员足够口不够口</w:t>
                  </w:r>
                </w:p>
              </w:tc>
              <w:tc>
                <w:tcPr>
                  <w:tcW w:w="424" w:type="pct"/>
                  <w:tcBorders>
                    <w:top w:val="nil"/>
                    <w:left w:val="single" w:color="000000" w:sz="4" w:space="0"/>
                    <w:bottom w:val="single" w:color="000000" w:sz="4" w:space="0"/>
                    <w:right w:val="single" w:color="000000" w:sz="4" w:space="0"/>
                  </w:tcBorders>
                  <w:shd w:val="clear" w:color="auto" w:fill="auto"/>
                  <w:vAlign w:val="center"/>
                </w:tcPr>
                <w:p w14:paraId="44E1E2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nil"/>
                    <w:left w:val="single" w:color="000000" w:sz="4" w:space="0"/>
                    <w:bottom w:val="single" w:color="000000" w:sz="4" w:space="0"/>
                    <w:right w:val="single" w:color="000000" w:sz="4" w:space="0"/>
                  </w:tcBorders>
                  <w:shd w:val="clear" w:color="auto" w:fill="auto"/>
                  <w:vAlign w:val="top"/>
                </w:tcPr>
                <w:p w14:paraId="74115C97">
                  <w:pPr>
                    <w:jc w:val="left"/>
                    <w:rPr>
                      <w:rFonts w:hint="eastAsia" w:asciiTheme="majorEastAsia" w:hAnsiTheme="majorEastAsia" w:eastAsiaTheme="majorEastAsia" w:cstheme="majorEastAsia"/>
                      <w:i w:val="0"/>
                      <w:iCs w:val="0"/>
                      <w:color w:val="000000"/>
                      <w:sz w:val="22"/>
                      <w:szCs w:val="22"/>
                      <w:u w:val="none"/>
                    </w:rPr>
                  </w:pPr>
                </w:p>
              </w:tc>
            </w:tr>
            <w:tr w14:paraId="437C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nil"/>
                    <w:left w:val="single" w:color="000000" w:sz="4" w:space="0"/>
                    <w:bottom w:val="single" w:color="000000" w:sz="4" w:space="0"/>
                    <w:right w:val="single" w:color="000000" w:sz="4" w:space="0"/>
                  </w:tcBorders>
                  <w:shd w:val="clear" w:color="auto" w:fill="auto"/>
                  <w:vAlign w:val="center"/>
                </w:tcPr>
                <w:p w14:paraId="4710363C">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362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现场劳动纪律</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C46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工牌/工服/预约/按时  满意□不满意口</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3D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D8BD2C2">
                  <w:pPr>
                    <w:jc w:val="left"/>
                    <w:rPr>
                      <w:rFonts w:hint="eastAsia" w:asciiTheme="majorEastAsia" w:hAnsiTheme="majorEastAsia" w:eastAsiaTheme="majorEastAsia" w:cstheme="majorEastAsia"/>
                      <w:i w:val="0"/>
                      <w:iCs w:val="0"/>
                      <w:color w:val="000000"/>
                      <w:sz w:val="22"/>
                      <w:szCs w:val="22"/>
                      <w:u w:val="none"/>
                    </w:rPr>
                  </w:pPr>
                </w:p>
              </w:tc>
            </w:tr>
            <w:tr w14:paraId="0E4D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nil"/>
                    <w:left w:val="single" w:color="000000" w:sz="4" w:space="0"/>
                    <w:bottom w:val="single" w:color="000000" w:sz="4" w:space="0"/>
                    <w:right w:val="single" w:color="000000" w:sz="4" w:space="0"/>
                  </w:tcBorders>
                  <w:shd w:val="clear" w:color="auto" w:fill="auto"/>
                  <w:vAlign w:val="center"/>
                </w:tcPr>
                <w:p w14:paraId="14528421">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944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维保人员能力</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1CD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现场组织/故障排查/服务态度满意□不满意口</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1D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E0841CD">
                  <w:pPr>
                    <w:jc w:val="left"/>
                    <w:rPr>
                      <w:rFonts w:hint="eastAsia" w:asciiTheme="majorEastAsia" w:hAnsiTheme="majorEastAsia" w:eastAsiaTheme="majorEastAsia" w:cstheme="majorEastAsia"/>
                      <w:i w:val="0"/>
                      <w:iCs w:val="0"/>
                      <w:color w:val="000000"/>
                      <w:sz w:val="22"/>
                      <w:szCs w:val="22"/>
                      <w:u w:val="none"/>
                    </w:rPr>
                  </w:pPr>
                </w:p>
              </w:tc>
            </w:tr>
            <w:tr w14:paraId="3498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2A6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故障和事故</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处理</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43E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一般故障</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0EC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完成□未完成□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36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A1EBCD3">
                  <w:pPr>
                    <w:jc w:val="left"/>
                    <w:rPr>
                      <w:rFonts w:hint="eastAsia" w:asciiTheme="majorEastAsia" w:hAnsiTheme="majorEastAsia" w:eastAsiaTheme="majorEastAsia" w:cstheme="majorEastAsia"/>
                      <w:i w:val="0"/>
                      <w:iCs w:val="0"/>
                      <w:color w:val="000000"/>
                      <w:sz w:val="22"/>
                      <w:szCs w:val="22"/>
                      <w:u w:val="none"/>
                    </w:rPr>
                  </w:pPr>
                </w:p>
              </w:tc>
            </w:tr>
            <w:tr w14:paraId="74DD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D849">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B9D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严重故障</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821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完成□未完成□</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89B273E">
                  <w:pPr>
                    <w:jc w:val="left"/>
                    <w:rPr>
                      <w:rFonts w:hint="eastAsia" w:asciiTheme="majorEastAsia" w:hAnsiTheme="majorEastAsia" w:eastAsiaTheme="majorEastAsia" w:cstheme="majorEastAsia"/>
                      <w:i w:val="0"/>
                      <w:iCs w:val="0"/>
                      <w:color w:val="000000"/>
                      <w:sz w:val="22"/>
                      <w:szCs w:val="22"/>
                      <w:u w:val="none"/>
                    </w:rPr>
                  </w:pPr>
                </w:p>
              </w:tc>
            </w:tr>
            <w:tr w14:paraId="7AD5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A37A">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38D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事件处理</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121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原因分析/防范措施  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D2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02304F3">
                  <w:pPr>
                    <w:jc w:val="left"/>
                    <w:rPr>
                      <w:rFonts w:hint="eastAsia" w:asciiTheme="majorEastAsia" w:hAnsiTheme="majorEastAsia" w:eastAsiaTheme="majorEastAsia" w:cstheme="majorEastAsia"/>
                      <w:i w:val="0"/>
                      <w:iCs w:val="0"/>
                      <w:color w:val="000000"/>
                      <w:sz w:val="22"/>
                      <w:szCs w:val="22"/>
                      <w:u w:val="none"/>
                    </w:rPr>
                  </w:pPr>
                </w:p>
              </w:tc>
            </w:tr>
            <w:tr w14:paraId="0F2F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FF4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计划报告</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E77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提供保养计划</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9F9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周/月度/季度/年度检查  有□无□</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83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512DA22">
                  <w:pPr>
                    <w:jc w:val="left"/>
                    <w:rPr>
                      <w:rFonts w:hint="eastAsia" w:asciiTheme="majorEastAsia" w:hAnsiTheme="majorEastAsia" w:eastAsiaTheme="majorEastAsia" w:cstheme="majorEastAsia"/>
                      <w:i w:val="0"/>
                      <w:iCs w:val="0"/>
                      <w:color w:val="000000"/>
                      <w:sz w:val="22"/>
                      <w:szCs w:val="22"/>
                      <w:u w:val="none"/>
                    </w:rPr>
                  </w:pPr>
                </w:p>
              </w:tc>
            </w:tr>
            <w:tr w14:paraId="536A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8E14">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DA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保养计划执行</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670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周检/月度检查/季度检查满意□不满意□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0F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17B3E769">
                  <w:pPr>
                    <w:jc w:val="left"/>
                    <w:rPr>
                      <w:rFonts w:hint="eastAsia" w:asciiTheme="majorEastAsia" w:hAnsiTheme="majorEastAsia" w:eastAsiaTheme="majorEastAsia" w:cstheme="majorEastAsia"/>
                      <w:i w:val="0"/>
                      <w:iCs w:val="0"/>
                      <w:color w:val="000000"/>
                      <w:sz w:val="22"/>
                      <w:szCs w:val="22"/>
                      <w:u w:val="none"/>
                    </w:rPr>
                  </w:pPr>
                </w:p>
              </w:tc>
            </w:tr>
            <w:tr w14:paraId="109C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E326">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63E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维修计划提供</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能力</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E14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时间/责任人/方案报价   有□无□</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56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FB5D7B2">
                  <w:pPr>
                    <w:jc w:val="left"/>
                    <w:rPr>
                      <w:rFonts w:hint="eastAsia" w:asciiTheme="majorEastAsia" w:hAnsiTheme="majorEastAsia" w:eastAsiaTheme="majorEastAsia" w:cstheme="majorEastAsia"/>
                      <w:i w:val="0"/>
                      <w:iCs w:val="0"/>
                      <w:color w:val="000000"/>
                      <w:sz w:val="22"/>
                      <w:szCs w:val="22"/>
                      <w:u w:val="none"/>
                    </w:rPr>
                  </w:pPr>
                </w:p>
              </w:tc>
            </w:tr>
            <w:tr w14:paraId="2C44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9C2D">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ED1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维修记录填写</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BA8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时间/状况描述/责任人/审核意见</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完整□不完整□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C4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7BCCFB94">
                  <w:pPr>
                    <w:jc w:val="left"/>
                    <w:rPr>
                      <w:rFonts w:hint="eastAsia" w:asciiTheme="majorEastAsia" w:hAnsiTheme="majorEastAsia" w:eastAsiaTheme="majorEastAsia" w:cstheme="majorEastAsia"/>
                      <w:i w:val="0"/>
                      <w:iCs w:val="0"/>
                      <w:color w:val="000000"/>
                      <w:sz w:val="22"/>
                      <w:szCs w:val="22"/>
                      <w:u w:val="none"/>
                    </w:rPr>
                  </w:pPr>
                </w:p>
              </w:tc>
            </w:tr>
            <w:tr w14:paraId="494B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7243">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33C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应急抢修</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327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时间/责任人/报价方案/完成及时率</w:t>
                  </w:r>
                  <w:r>
                    <w:rPr>
                      <w:rFonts w:hint="eastAsia" w:asciiTheme="majorEastAsia" w:hAnsiTheme="majorEastAsia" w:eastAsiaTheme="majorEastAsia" w:cstheme="majorEastAsia"/>
                      <w:i w:val="0"/>
                      <w:iCs w:val="0"/>
                      <w:color w:val="000000"/>
                      <w:kern w:val="0"/>
                      <w:sz w:val="22"/>
                      <w:szCs w:val="22"/>
                      <w:u w:val="none"/>
                      <w:lang w:val="en-US" w:eastAsia="zh-CN" w:bidi="ar"/>
                    </w:rPr>
                    <w:br w:type="textWrapping"/>
                  </w:r>
                  <w:r>
                    <w:rPr>
                      <w:rFonts w:hint="eastAsia" w:asciiTheme="majorEastAsia" w:hAnsiTheme="majorEastAsia" w:eastAsiaTheme="majorEastAsia" w:cstheme="majorEastAsia"/>
                      <w:i w:val="0"/>
                      <w:iCs w:val="0"/>
                      <w:color w:val="000000"/>
                      <w:kern w:val="0"/>
                      <w:sz w:val="22"/>
                      <w:szCs w:val="22"/>
                      <w:u w:val="none"/>
                      <w:lang w:val="en-US" w:eastAsia="zh-CN" w:bidi="ar"/>
                    </w:rPr>
                    <w:t>满意□不满意□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EA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7E94DFB">
                  <w:pPr>
                    <w:jc w:val="left"/>
                    <w:rPr>
                      <w:rFonts w:hint="eastAsia" w:asciiTheme="majorEastAsia" w:hAnsiTheme="majorEastAsia" w:eastAsiaTheme="majorEastAsia" w:cstheme="majorEastAsia"/>
                      <w:i w:val="0"/>
                      <w:iCs w:val="0"/>
                      <w:color w:val="000000"/>
                      <w:sz w:val="22"/>
                      <w:szCs w:val="22"/>
                      <w:u w:val="none"/>
                    </w:rPr>
                  </w:pPr>
                </w:p>
              </w:tc>
            </w:tr>
            <w:tr w14:paraId="3B98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4557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其他</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416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业主投诉</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87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有效投诉次数不大于2次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4B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609AD74D">
                  <w:pPr>
                    <w:jc w:val="left"/>
                    <w:rPr>
                      <w:rFonts w:hint="eastAsia" w:asciiTheme="majorEastAsia" w:hAnsiTheme="majorEastAsia" w:eastAsiaTheme="majorEastAsia" w:cstheme="majorEastAsia"/>
                      <w:i w:val="0"/>
                      <w:iCs w:val="0"/>
                      <w:color w:val="000000"/>
                      <w:sz w:val="22"/>
                      <w:szCs w:val="22"/>
                      <w:u w:val="none"/>
                    </w:rPr>
                  </w:pPr>
                </w:p>
              </w:tc>
            </w:tr>
            <w:tr w14:paraId="560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17C8">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73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消防局检查配合</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9C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有检查无配合□无检查无未配合□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AC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02905732">
                  <w:pPr>
                    <w:jc w:val="left"/>
                    <w:rPr>
                      <w:rFonts w:hint="eastAsia" w:asciiTheme="majorEastAsia" w:hAnsiTheme="majorEastAsia" w:eastAsiaTheme="majorEastAsia" w:cstheme="majorEastAsia"/>
                      <w:i w:val="0"/>
                      <w:iCs w:val="0"/>
                      <w:color w:val="000000"/>
                      <w:sz w:val="22"/>
                      <w:szCs w:val="22"/>
                      <w:u w:val="none"/>
                    </w:rPr>
                  </w:pPr>
                </w:p>
              </w:tc>
            </w:tr>
            <w:tr w14:paraId="5EE2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AB92B">
                  <w:pPr>
                    <w:jc w:val="left"/>
                    <w:rPr>
                      <w:rFonts w:hint="eastAsia" w:asciiTheme="majorEastAsia" w:hAnsiTheme="majorEastAsia" w:eastAsiaTheme="majorEastAsia" w:cstheme="majorEastAsia"/>
                      <w:i w:val="0"/>
                      <w:iCs w:val="0"/>
                      <w:color w:val="000000"/>
                      <w:sz w:val="22"/>
                      <w:szCs w:val="22"/>
                      <w:u w:val="none"/>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026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消防应急演练</w:t>
                  </w:r>
                </w:p>
              </w:tc>
              <w:tc>
                <w:tcPr>
                  <w:tcW w:w="2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EE8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配合□未配合□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73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3FBE0D32">
                  <w:pPr>
                    <w:jc w:val="left"/>
                    <w:rPr>
                      <w:rFonts w:hint="eastAsia" w:asciiTheme="majorEastAsia" w:hAnsiTheme="majorEastAsia" w:eastAsiaTheme="majorEastAsia" w:cstheme="majorEastAsia"/>
                      <w:i w:val="0"/>
                      <w:iCs w:val="0"/>
                      <w:color w:val="000000"/>
                      <w:sz w:val="22"/>
                      <w:szCs w:val="22"/>
                      <w:u w:val="none"/>
                    </w:rPr>
                  </w:pPr>
                </w:p>
              </w:tc>
            </w:tr>
            <w:tr w14:paraId="5574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6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A26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考核得分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top"/>
                </w:tcPr>
                <w:p w14:paraId="272A7533">
                  <w:pPr>
                    <w:jc w:val="left"/>
                    <w:rPr>
                      <w:rFonts w:hint="eastAsia" w:asciiTheme="majorEastAsia" w:hAnsiTheme="majorEastAsia" w:eastAsiaTheme="majorEastAsia" w:cstheme="majorEastAsia"/>
                      <w:i w:val="0"/>
                      <w:iCs w:val="0"/>
                      <w:color w:val="000000"/>
                      <w:sz w:val="22"/>
                      <w:szCs w:val="22"/>
                      <w:u w:val="none"/>
                    </w:rPr>
                  </w:pPr>
                </w:p>
              </w:tc>
            </w:tr>
            <w:tr w14:paraId="09D8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BE1A6">
                  <w:pPr>
                    <w:keepNext w:val="0"/>
                    <w:keepLines w:val="0"/>
                    <w:widowControl/>
                    <w:suppressLineNumbers w:val="0"/>
                    <w:jc w:val="left"/>
                    <w:textAlignment w:val="center"/>
                    <w:rPr>
                      <w:rFonts w:hint="default" w:asciiTheme="majorEastAsia" w:hAnsiTheme="majorEastAsia" w:eastAsiaTheme="majorEastAsia" w:cstheme="majorEastAsia"/>
                      <w:i w:val="0"/>
                      <w:iCs w:val="0"/>
                      <w:color w:val="000000"/>
                      <w:sz w:val="22"/>
                      <w:szCs w:val="22"/>
                      <w:u w:val="none"/>
                      <w:lang w:val="en-US"/>
                    </w:rPr>
                  </w:pPr>
                  <w:r>
                    <w:rPr>
                      <w:rFonts w:hint="eastAsia" w:asciiTheme="majorEastAsia" w:hAnsiTheme="majorEastAsia" w:eastAsiaTheme="majorEastAsia" w:cstheme="majorEastAsia"/>
                      <w:i w:val="0"/>
                      <w:iCs w:val="0"/>
                      <w:color w:val="000000"/>
                      <w:kern w:val="0"/>
                      <w:sz w:val="22"/>
                      <w:szCs w:val="22"/>
                      <w:u w:val="none"/>
                      <w:lang w:val="en-US" w:eastAsia="zh-CN" w:bidi="ar"/>
                    </w:rPr>
                    <w:t>备注：满分100分，年度考核低于90分，限期整改；整改后低于80分，采购人则有权拒绝签属下一年度合同；考核低于80分采购人有权直接解除合同。</w:t>
                  </w:r>
                </w:p>
              </w:tc>
            </w:tr>
          </w:tbl>
          <w:p w14:paraId="195662D2">
            <w:pPr>
              <w:numPr>
                <w:ilvl w:val="0"/>
                <w:numId w:val="0"/>
              </w:numPr>
              <w:rPr>
                <w:rFonts w:hint="default" w:asciiTheme="majorEastAsia" w:hAnsiTheme="majorEastAsia" w:eastAsiaTheme="majorEastAsia" w:cstheme="majorEastAsia"/>
                <w:sz w:val="24"/>
                <w:szCs w:val="24"/>
                <w:lang w:val="en-US" w:eastAsia="zh-CN"/>
              </w:rPr>
            </w:pP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3729B6C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6281D126">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r>
              <w:rPr>
                <w:rFonts w:hint="eastAsia" w:ascii="宋体" w:hAnsi="宋体" w:cs="宋体"/>
                <w:kern w:val="0"/>
                <w:sz w:val="24"/>
                <w:u w:val="none"/>
                <w:lang w:val="en-US" w:eastAsia="zh-CN"/>
              </w:rPr>
              <w:t>及相关资格证明</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w:t>
            </w:r>
            <w:r>
              <w:rPr>
                <w:rFonts w:hint="eastAsia" w:ascii="宋体" w:hAnsi="宋体" w:cs="宋体"/>
                <w:kern w:val="0"/>
                <w:sz w:val="24"/>
                <w:u w:val="none"/>
                <w:lang w:val="en-US" w:eastAsia="zh-CN"/>
              </w:rPr>
              <w:t>按照</w:t>
            </w:r>
            <w:bookmarkStart w:id="1" w:name="_GoBack"/>
            <w:bookmarkEnd w:id="1"/>
            <w:r>
              <w:rPr>
                <w:rFonts w:hint="eastAsia" w:ascii="宋体" w:hAnsi="宋体" w:cs="宋体"/>
                <w:kern w:val="0"/>
                <w:sz w:val="24"/>
                <w:u w:val="none"/>
                <w:lang w:val="en-US" w:eastAsia="zh-CN"/>
              </w:rPr>
              <w:t>评分内容提供资料</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0C5179E">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7381128B">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17</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57AAADC4">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6656C46B">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color w:val="000000"/>
                <w:sz w:val="24"/>
                <w:szCs w:val="24"/>
                <w:lang w:eastAsia="zh-CN"/>
              </w:rPr>
              <w:t>综合评分</w:t>
            </w:r>
            <w:r>
              <w:rPr>
                <w:rFonts w:hint="eastAsia" w:ascii="宋体" w:hAnsi="宋体" w:eastAsia="宋体"/>
                <w:color w:val="000000"/>
                <w:sz w:val="24"/>
                <w:szCs w:val="24"/>
              </w:rPr>
              <w:t>法</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0A25F0B8">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45BD1C2E">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3年。合同一年一签，经年度考核合格，双方同意的情况下续签下一年度合同。</w:t>
            </w:r>
          </w:p>
          <w:p w14:paraId="2A1F307E">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供应商提出验收要求后10天内验收。</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（4）付款方式：按</w:t>
            </w:r>
            <w:r>
              <w:rPr>
                <w:rFonts w:hint="eastAsia" w:ascii="宋体" w:hAnsi="宋体" w:cs="Times New Roman"/>
                <w:color w:val="000000"/>
                <w:kern w:val="2"/>
                <w:sz w:val="24"/>
                <w:szCs w:val="24"/>
                <w:lang w:val="en-US" w:eastAsia="zh-CN" w:bidi="ar-SA"/>
              </w:rPr>
              <w:t>年度</w:t>
            </w:r>
            <w:r>
              <w:rPr>
                <w:rFonts w:hint="eastAsia" w:ascii="宋体" w:hAnsi="宋体" w:eastAsia="宋体" w:cs="Times New Roman"/>
                <w:color w:val="000000"/>
                <w:kern w:val="2"/>
                <w:sz w:val="24"/>
                <w:szCs w:val="24"/>
                <w:lang w:val="en-US" w:eastAsia="zh-CN" w:bidi="ar-SA"/>
              </w:rPr>
              <w:t>结算</w:t>
            </w:r>
            <w:r>
              <w:rPr>
                <w:rFonts w:hint="eastAsia" w:ascii="宋体" w:hAnsi="宋体" w:cs="Times New Roman"/>
                <w:color w:val="000000"/>
                <w:kern w:val="2"/>
                <w:sz w:val="24"/>
                <w:szCs w:val="24"/>
                <w:lang w:val="en-US" w:eastAsia="zh-CN" w:bidi="ar-SA"/>
              </w:rPr>
              <w:t>。</w:t>
            </w:r>
            <w:r>
              <w:rPr>
                <w:rFonts w:hint="eastAsia" w:asciiTheme="minorEastAsia" w:hAnsiTheme="minorEastAsia" w:eastAsiaTheme="minorEastAsia" w:cstheme="minorEastAsia"/>
                <w:sz w:val="24"/>
                <w:szCs w:val="24"/>
                <w:lang w:val="en-US" w:eastAsia="zh-CN"/>
              </w:rPr>
              <w:t>合同签订后，服务满一年，且考核合格。收到乙方提供有效增值税发票，完成付款签批流程，30日内转账支付年度合同总金额的100%</w:t>
            </w:r>
            <w:r>
              <w:rPr>
                <w:rFonts w:hint="eastAsia" w:ascii="宋体" w:hAnsi="宋体" w:eastAsia="宋体" w:cs="Times New Roman"/>
                <w:color w:val="000000"/>
                <w:kern w:val="2"/>
                <w:sz w:val="24"/>
                <w:szCs w:val="24"/>
                <w:lang w:val="en-US" w:eastAsia="zh-CN" w:bidi="ar-SA"/>
              </w:rPr>
              <w:t>。</w:t>
            </w:r>
          </w:p>
          <w:p w14:paraId="33FBDDD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eastAsia" w:asciiTheme="minorEastAsia" w:hAnsiTheme="minorEastAsia" w:eastAsiaTheme="minorEastAsia" w:cstheme="minorEastAsia"/>
                <w:sz w:val="24"/>
                <w:szCs w:val="24"/>
                <w:lang w:val="en-US" w:eastAsia="zh-CN"/>
              </w:rPr>
              <w:t>提供365×24小时报修服务</w:t>
            </w:r>
            <w:r>
              <w:rPr>
                <w:rFonts w:hint="eastAsia" w:ascii="宋体" w:hAnsi="宋体" w:cs="宋体"/>
                <w:color w:val="auto"/>
                <w:sz w:val="21"/>
                <w:szCs w:val="21"/>
                <w:lang w:eastAsia="zh-CN"/>
              </w:rPr>
              <w:t>。</w:t>
            </w:r>
          </w:p>
          <w:p w14:paraId="1FBC288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r>
              <w:rPr>
                <w:rFonts w:hint="eastAsia" w:ascii="宋体" w:hAnsi="宋体" w:cs="Times New Roman"/>
                <w:color w:val="000000"/>
                <w:kern w:val="2"/>
                <w:sz w:val="24"/>
                <w:szCs w:val="24"/>
                <w:lang w:val="en-US" w:eastAsia="zh-CN" w:bidi="ar-SA"/>
              </w:rPr>
              <w:t>合同签署后，成交供应商应将相关资格证书及拟派人员相关资格证书复印件交于管理科室存档</w:t>
            </w:r>
            <w:r>
              <w:rPr>
                <w:rFonts w:hint="eastAsia" w:ascii="宋体" w:hAnsi="宋体" w:eastAsia="宋体" w:cs="Times New Roman"/>
                <w:color w:val="000000"/>
                <w:kern w:val="2"/>
                <w:sz w:val="24"/>
                <w:szCs w:val="24"/>
                <w:lang w:val="en-US" w:eastAsia="zh-CN" w:bidi="ar-SA"/>
              </w:rPr>
              <w:t>。</w:t>
            </w:r>
          </w:p>
        </w:tc>
      </w:tr>
    </w:tbl>
    <w:p w14:paraId="43F2CF02"/>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5B83902E">
      <w:pPr>
        <w:rPr>
          <w:rFonts w:hint="eastAsia"/>
        </w:rPr>
      </w:pPr>
    </w:p>
    <w:p w14:paraId="5CBF8991">
      <w:pPr>
        <w:rPr>
          <w:rFonts w:hint="eastAsia"/>
        </w:rPr>
      </w:pPr>
    </w:p>
    <w:p w14:paraId="0C692DCB">
      <w:pPr>
        <w:rPr>
          <w:rFonts w:hint="eastAsia"/>
        </w:rPr>
      </w:pPr>
    </w:p>
    <w:p w14:paraId="56584A58">
      <w:pPr>
        <w:rPr>
          <w:rFonts w:hint="eastAsia"/>
        </w:rPr>
      </w:pPr>
    </w:p>
    <w:p w14:paraId="5F889224">
      <w:pPr>
        <w:rPr>
          <w:rFonts w:hint="eastAsia"/>
        </w:rPr>
      </w:pPr>
    </w:p>
    <w:p w14:paraId="0FAE9404">
      <w:pPr>
        <w:rPr>
          <w:rFonts w:hint="eastAsia"/>
        </w:rPr>
      </w:pPr>
    </w:p>
    <w:p w14:paraId="5EFB226B">
      <w:pPr>
        <w:rPr>
          <w:rFonts w:hint="eastAsia"/>
        </w:rPr>
      </w:pPr>
    </w:p>
    <w:p w14:paraId="728AC6CD">
      <w:pPr>
        <w:rPr>
          <w:rFonts w:hint="eastAsia"/>
        </w:rPr>
      </w:pPr>
    </w:p>
    <w:p w14:paraId="6AD5D422">
      <w:pPr>
        <w:rPr>
          <w:rFonts w:hint="eastAsia"/>
        </w:rPr>
      </w:pPr>
    </w:p>
    <w:p w14:paraId="7EC81AC6">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7"/>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0"/>
      </w:pPr>
    </w:p>
    <w:p w14:paraId="4BE17565"/>
    <w:p w14:paraId="465C494F">
      <w:pPr>
        <w:pStyle w:val="7"/>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7"/>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0"/>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02574363">
      <w:pPr>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p w14:paraId="2AA340C0">
      <w:pPr>
        <w:pStyle w:val="6"/>
        <w:numPr>
          <w:ilvl w:val="0"/>
          <w:numId w:val="0"/>
        </w:numPr>
        <w:ind w:leftChars="0"/>
        <w:rPr>
          <w:rFonts w:hint="eastAsia" w:ascii="宋体" w:hAnsi="宋体" w:cs="宋体-18030"/>
          <w:b w:val="0"/>
          <w:bCs w:val="0"/>
          <w:spacing w:val="4"/>
          <w:sz w:val="24"/>
          <w:szCs w:val="24"/>
          <w:lang w:eastAsia="zh-CN"/>
        </w:rPr>
      </w:pPr>
      <w:r>
        <w:rPr>
          <w:rFonts w:hint="eastAsia" w:ascii="宋体" w:hAnsi="宋体" w:cs="宋体-18030"/>
          <w:b w:val="0"/>
          <w:bCs w:val="0"/>
          <w:spacing w:val="4"/>
          <w:sz w:val="24"/>
          <w:szCs w:val="24"/>
          <w:lang w:eastAsia="zh-CN"/>
        </w:rPr>
        <w:t>常用零配件报价表：</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2437"/>
        <w:gridCol w:w="1701"/>
        <w:gridCol w:w="1316"/>
        <w:gridCol w:w="1316"/>
        <w:gridCol w:w="1096"/>
      </w:tblGrid>
      <w:tr w14:paraId="6EEC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9BDF3B0">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火灾自动报警系统：</w:t>
            </w:r>
          </w:p>
        </w:tc>
      </w:tr>
      <w:tr w14:paraId="64E6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C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E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E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6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r>
              <w:rPr>
                <w:rFonts w:hint="eastAsia" w:ascii="宋体" w:hAnsi="宋体" w:cs="宋体"/>
                <w:i w:val="0"/>
                <w:iCs w:val="0"/>
                <w:snapToGrid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5916F">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报价（元）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D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8AA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9DC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24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4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511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F536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D64F7">
            <w:pPr>
              <w:jc w:val="center"/>
              <w:rPr>
                <w:rFonts w:hint="eastAsia" w:ascii="宋体" w:hAnsi="宋体" w:eastAsia="宋体" w:cs="宋体"/>
                <w:i w:val="0"/>
                <w:iCs w:val="0"/>
                <w:color w:val="000000"/>
                <w:sz w:val="22"/>
                <w:szCs w:val="22"/>
                <w:u w:val="none"/>
              </w:rPr>
            </w:pPr>
          </w:p>
        </w:tc>
      </w:tr>
      <w:tr w14:paraId="1FAF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E7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5A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6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086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6328C">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DA56C">
            <w:pPr>
              <w:jc w:val="center"/>
              <w:rPr>
                <w:rFonts w:hint="eastAsia" w:ascii="宋体" w:hAnsi="宋体" w:eastAsia="宋体" w:cs="宋体"/>
                <w:i w:val="0"/>
                <w:iCs w:val="0"/>
                <w:color w:val="000000"/>
                <w:sz w:val="22"/>
                <w:szCs w:val="22"/>
                <w:u w:val="none"/>
              </w:rPr>
            </w:pPr>
          </w:p>
        </w:tc>
      </w:tr>
      <w:tr w14:paraId="0193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A2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4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B62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8F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E582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76F2">
            <w:pPr>
              <w:jc w:val="center"/>
              <w:rPr>
                <w:rFonts w:hint="eastAsia" w:ascii="宋体" w:hAnsi="宋体" w:eastAsia="宋体" w:cs="宋体"/>
                <w:i w:val="0"/>
                <w:iCs w:val="0"/>
                <w:color w:val="000000"/>
                <w:sz w:val="22"/>
                <w:szCs w:val="22"/>
                <w:u w:val="none"/>
              </w:rPr>
            </w:pPr>
          </w:p>
        </w:tc>
      </w:tr>
      <w:tr w14:paraId="2EEB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D4A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3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45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527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73EF8">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20DC1">
            <w:pPr>
              <w:jc w:val="center"/>
              <w:rPr>
                <w:rFonts w:hint="eastAsia" w:ascii="宋体" w:hAnsi="宋体" w:eastAsia="宋体" w:cs="宋体"/>
                <w:i w:val="0"/>
                <w:iCs w:val="0"/>
                <w:color w:val="000000"/>
                <w:sz w:val="22"/>
                <w:szCs w:val="22"/>
                <w:u w:val="none"/>
              </w:rPr>
            </w:pPr>
          </w:p>
        </w:tc>
      </w:tr>
      <w:tr w14:paraId="4192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BB8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20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C5F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732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A2A1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1D8E9">
            <w:pPr>
              <w:jc w:val="center"/>
              <w:rPr>
                <w:rFonts w:hint="eastAsia" w:ascii="宋体" w:hAnsi="宋体" w:eastAsia="宋体" w:cs="宋体"/>
                <w:i w:val="0"/>
                <w:iCs w:val="0"/>
                <w:color w:val="000000"/>
                <w:sz w:val="22"/>
                <w:szCs w:val="22"/>
                <w:u w:val="none"/>
              </w:rPr>
            </w:pPr>
          </w:p>
        </w:tc>
      </w:tr>
      <w:tr w14:paraId="359E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4E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46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653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34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50D7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C8A29">
            <w:pPr>
              <w:jc w:val="center"/>
              <w:rPr>
                <w:rFonts w:hint="eastAsia" w:ascii="宋体" w:hAnsi="宋体" w:eastAsia="宋体" w:cs="宋体"/>
                <w:i w:val="0"/>
                <w:iCs w:val="0"/>
                <w:color w:val="000000"/>
                <w:sz w:val="22"/>
                <w:szCs w:val="22"/>
                <w:u w:val="none"/>
              </w:rPr>
            </w:pPr>
          </w:p>
        </w:tc>
      </w:tr>
      <w:tr w14:paraId="6737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78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9D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307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CCA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A858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0DA69">
            <w:pPr>
              <w:jc w:val="center"/>
              <w:rPr>
                <w:rFonts w:hint="eastAsia" w:ascii="宋体" w:hAnsi="宋体" w:eastAsia="宋体" w:cs="宋体"/>
                <w:i w:val="0"/>
                <w:iCs w:val="0"/>
                <w:color w:val="000000"/>
                <w:sz w:val="22"/>
                <w:szCs w:val="22"/>
                <w:u w:val="none"/>
              </w:rPr>
            </w:pPr>
          </w:p>
        </w:tc>
      </w:tr>
      <w:tr w14:paraId="30F1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7BC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8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广播模块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345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FE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F0956">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4F71D">
            <w:pPr>
              <w:jc w:val="center"/>
              <w:rPr>
                <w:rFonts w:hint="eastAsia" w:ascii="宋体" w:hAnsi="宋体" w:eastAsia="宋体" w:cs="宋体"/>
                <w:i w:val="0"/>
                <w:iCs w:val="0"/>
                <w:color w:val="000000"/>
                <w:sz w:val="22"/>
                <w:szCs w:val="22"/>
                <w:u w:val="none"/>
              </w:rPr>
            </w:pPr>
          </w:p>
        </w:tc>
      </w:tr>
      <w:tr w14:paraId="4AD7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DBEA500">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消火栓系统</w:t>
            </w:r>
          </w:p>
        </w:tc>
      </w:tr>
      <w:tr w14:paraId="2A6D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98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E7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E4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B1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827EB">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B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21DC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95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7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消火栓栓头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8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4D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9FA91">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D0E72">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65型</w:t>
            </w:r>
          </w:p>
        </w:tc>
      </w:tr>
      <w:tr w14:paraId="0384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615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4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消防软管卷盘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C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256E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130F3">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2172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20M</w:t>
            </w:r>
          </w:p>
        </w:tc>
      </w:tr>
      <w:tr w14:paraId="4C2E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7F5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9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71A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F3B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0715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84DCF">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25M</w:t>
            </w:r>
          </w:p>
        </w:tc>
      </w:tr>
      <w:tr w14:paraId="714D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38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6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E50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D15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46D6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1BEC1">
            <w:pPr>
              <w:jc w:val="center"/>
              <w:rPr>
                <w:rFonts w:hint="eastAsia" w:ascii="宋体" w:hAnsi="宋体" w:eastAsia="宋体" w:cs="宋体"/>
                <w:i w:val="0"/>
                <w:iCs w:val="0"/>
                <w:color w:val="000000"/>
                <w:sz w:val="22"/>
                <w:szCs w:val="22"/>
                <w:u w:val="none"/>
              </w:rPr>
            </w:pPr>
          </w:p>
        </w:tc>
      </w:tr>
      <w:tr w14:paraId="23DB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AAD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0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消火栓接合器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9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94B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92FF8">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84E95">
            <w:pPr>
              <w:jc w:val="center"/>
              <w:rPr>
                <w:rFonts w:hint="eastAsia" w:ascii="宋体" w:hAnsi="宋体" w:eastAsia="宋体" w:cs="宋体"/>
                <w:i w:val="0"/>
                <w:iCs w:val="0"/>
                <w:color w:val="000000"/>
                <w:sz w:val="22"/>
                <w:szCs w:val="22"/>
                <w:u w:val="none"/>
              </w:rPr>
            </w:pPr>
          </w:p>
        </w:tc>
      </w:tr>
      <w:tr w14:paraId="6550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55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52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消防水泵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93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8FD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7CEA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A7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D8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798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3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水泵控制柜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797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5A1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32E6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D7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DE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B92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C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7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0AB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CF87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C769C">
            <w:pPr>
              <w:jc w:val="center"/>
              <w:rPr>
                <w:rFonts w:hint="eastAsia" w:ascii="宋体" w:hAnsi="宋体" w:eastAsia="宋体" w:cs="宋体"/>
                <w:i w:val="0"/>
                <w:iCs w:val="0"/>
                <w:color w:val="000000"/>
                <w:sz w:val="22"/>
                <w:szCs w:val="22"/>
                <w:u w:val="none"/>
              </w:rPr>
            </w:pPr>
          </w:p>
        </w:tc>
      </w:tr>
      <w:tr w14:paraId="6E62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50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0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4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E19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5EEA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85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E4B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0E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0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4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F48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8A24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7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E4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F6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8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1F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694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5DCA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0B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E0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773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8E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B9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81B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053CA">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8D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45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60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2B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6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905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10D4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C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F1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C4B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DD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47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08A3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CA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9D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30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77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2E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泄压阀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9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F51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71C2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43156">
            <w:pPr>
              <w:jc w:val="center"/>
              <w:rPr>
                <w:rFonts w:hint="eastAsia" w:ascii="宋体" w:hAnsi="宋体" w:eastAsia="宋体" w:cs="宋体"/>
                <w:i w:val="0"/>
                <w:iCs w:val="0"/>
                <w:color w:val="000000"/>
                <w:sz w:val="22"/>
                <w:szCs w:val="22"/>
                <w:u w:val="none"/>
              </w:rPr>
            </w:pPr>
          </w:p>
        </w:tc>
      </w:tr>
      <w:tr w14:paraId="4517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8C88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237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ABB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D90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726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96012">
            <w:pPr>
              <w:jc w:val="center"/>
              <w:rPr>
                <w:rFonts w:hint="eastAsia" w:ascii="宋体" w:hAnsi="宋体" w:eastAsia="宋体" w:cs="宋体"/>
                <w:i w:val="0"/>
                <w:iCs w:val="0"/>
                <w:color w:val="000000"/>
                <w:sz w:val="22"/>
                <w:szCs w:val="22"/>
                <w:u w:val="none"/>
              </w:rPr>
            </w:pPr>
          </w:p>
        </w:tc>
      </w:tr>
      <w:tr w14:paraId="0846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76D5408">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自喷系统</w:t>
            </w:r>
          </w:p>
        </w:tc>
      </w:tr>
      <w:tr w14:paraId="7677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8E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92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D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F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B8780">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5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2FFF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9F5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0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喷淋泵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183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978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FAC0F">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E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30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44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C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湿式报警阀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D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605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E5906">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0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12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C4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A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信号蝶阀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B46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74C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207C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A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55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37346686">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消防应急广播</w:t>
            </w:r>
          </w:p>
        </w:tc>
      </w:tr>
      <w:tr w14:paraId="4185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5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0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A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A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F10F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3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973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57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A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现场广播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F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7CF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7CFE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F1F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吸顶暗装</w:t>
            </w:r>
          </w:p>
        </w:tc>
      </w:tr>
      <w:tr w14:paraId="70FF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198BC921">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消防电话</w:t>
            </w:r>
          </w:p>
        </w:tc>
      </w:tr>
      <w:tr w14:paraId="5807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81A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E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39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B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9DAD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B8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96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55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1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多线电话（插孔电话）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0F1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B15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FA741">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8FFBA">
            <w:pPr>
              <w:jc w:val="center"/>
              <w:rPr>
                <w:rFonts w:hint="eastAsia" w:ascii="宋体" w:hAnsi="宋体" w:eastAsia="宋体" w:cs="宋体"/>
                <w:i w:val="0"/>
                <w:iCs w:val="0"/>
                <w:color w:val="000000"/>
                <w:sz w:val="22"/>
                <w:szCs w:val="22"/>
                <w:u w:val="none"/>
              </w:rPr>
            </w:pPr>
          </w:p>
        </w:tc>
      </w:tr>
      <w:tr w14:paraId="1FB2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C4EE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消防应急照明和疏散指示</w:t>
            </w:r>
          </w:p>
        </w:tc>
      </w:tr>
      <w:tr w14:paraId="578B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F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F5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00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3D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BDF90">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2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1402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23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42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应急照明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E14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539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81080">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0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7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67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BF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疏散指示牌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019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F56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2935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B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86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836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4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集中电源EPS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9F86B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1千瓦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79C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E7AC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BC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D5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D833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B92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ACA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0C7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7AE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8608">
            <w:pPr>
              <w:jc w:val="center"/>
              <w:rPr>
                <w:rFonts w:hint="eastAsia" w:ascii="宋体" w:hAnsi="宋体" w:eastAsia="宋体" w:cs="宋体"/>
                <w:i w:val="0"/>
                <w:iCs w:val="0"/>
                <w:color w:val="000000"/>
                <w:sz w:val="22"/>
                <w:szCs w:val="22"/>
                <w:u w:val="none"/>
              </w:rPr>
            </w:pPr>
          </w:p>
        </w:tc>
      </w:tr>
      <w:tr w14:paraId="48A0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560BD7DF">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消防防排烟系统</w:t>
            </w:r>
          </w:p>
        </w:tc>
      </w:tr>
      <w:tr w14:paraId="5C05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98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E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E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F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9F894">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FD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582A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F4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19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F3F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D8B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4688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53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C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A2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2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混流风机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7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4BC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25E4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8B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4EA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8D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E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风机控制柜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6F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74E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135B3">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D9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14:paraId="21D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5F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4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排烟防火阀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D49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33A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9DE6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B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15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A9D3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478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322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976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5FD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521FA">
            <w:pPr>
              <w:jc w:val="center"/>
              <w:rPr>
                <w:rFonts w:hint="eastAsia" w:ascii="宋体" w:hAnsi="宋体" w:eastAsia="宋体" w:cs="宋体"/>
                <w:i w:val="0"/>
                <w:iCs w:val="0"/>
                <w:color w:val="000000"/>
                <w:sz w:val="22"/>
                <w:szCs w:val="22"/>
                <w:u w:val="none"/>
              </w:rPr>
            </w:pPr>
          </w:p>
        </w:tc>
      </w:tr>
      <w:tr w14:paraId="498B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E5456E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气体灭火系统</w:t>
            </w:r>
          </w:p>
        </w:tc>
      </w:tr>
      <w:tr w14:paraId="6EC5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49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6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0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74F4B">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F3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3210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DE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1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2B9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久远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40F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ED37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9E077">
            <w:pPr>
              <w:jc w:val="center"/>
              <w:rPr>
                <w:rFonts w:hint="eastAsia" w:ascii="宋体" w:hAnsi="宋体" w:eastAsia="宋体" w:cs="宋体"/>
                <w:i w:val="0"/>
                <w:iCs w:val="0"/>
                <w:color w:val="000000"/>
                <w:sz w:val="22"/>
                <w:szCs w:val="22"/>
                <w:u w:val="none"/>
              </w:rPr>
            </w:pPr>
          </w:p>
        </w:tc>
      </w:tr>
      <w:tr w14:paraId="22FA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A7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97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8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A134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B9656">
            <w:pPr>
              <w:jc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172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配套</w:t>
            </w:r>
          </w:p>
        </w:tc>
      </w:tr>
      <w:tr w14:paraId="75AD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35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3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紧急启动按钮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D27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AE6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19F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1E919">
            <w:pPr>
              <w:jc w:val="center"/>
              <w:rPr>
                <w:rFonts w:hint="eastAsia" w:ascii="宋体" w:hAnsi="宋体" w:eastAsia="宋体" w:cs="宋体"/>
                <w:i w:val="0"/>
                <w:iCs w:val="0"/>
                <w:color w:val="000000"/>
                <w:sz w:val="22"/>
                <w:szCs w:val="22"/>
                <w:u w:val="none"/>
              </w:rPr>
            </w:pPr>
          </w:p>
        </w:tc>
      </w:tr>
      <w:tr w14:paraId="1D71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37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6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气体疏散指示灯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E43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6BA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0687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0DF2E">
            <w:pPr>
              <w:jc w:val="center"/>
              <w:rPr>
                <w:rFonts w:hint="eastAsia" w:ascii="宋体" w:hAnsi="宋体" w:eastAsia="宋体" w:cs="宋体"/>
                <w:i w:val="0"/>
                <w:iCs w:val="0"/>
                <w:color w:val="000000"/>
                <w:sz w:val="22"/>
                <w:szCs w:val="22"/>
                <w:u w:val="none"/>
              </w:rPr>
            </w:pPr>
          </w:p>
        </w:tc>
      </w:tr>
      <w:tr w14:paraId="6CC2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C40C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833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C29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024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24D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4F3AF">
            <w:pPr>
              <w:jc w:val="center"/>
              <w:rPr>
                <w:rFonts w:hint="eastAsia" w:ascii="宋体" w:hAnsi="宋体" w:eastAsia="宋体" w:cs="宋体"/>
                <w:i w:val="0"/>
                <w:iCs w:val="0"/>
                <w:color w:val="000000"/>
                <w:sz w:val="22"/>
                <w:szCs w:val="22"/>
                <w:u w:val="none"/>
              </w:rPr>
            </w:pPr>
          </w:p>
        </w:tc>
      </w:tr>
      <w:tr w14:paraId="4E05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09E9C3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电气火灾监控系统</w:t>
            </w:r>
          </w:p>
        </w:tc>
      </w:tr>
      <w:tr w14:paraId="387C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23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4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9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5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C760D">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64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E6E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0B5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69E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感应模块（现场感应模块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52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B34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FA18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78044">
            <w:pPr>
              <w:jc w:val="center"/>
              <w:rPr>
                <w:rFonts w:hint="eastAsia" w:ascii="宋体" w:hAnsi="宋体" w:eastAsia="宋体" w:cs="宋体"/>
                <w:i w:val="0"/>
                <w:iCs w:val="0"/>
                <w:color w:val="000000"/>
                <w:sz w:val="22"/>
                <w:szCs w:val="22"/>
                <w:u w:val="none"/>
              </w:rPr>
            </w:pPr>
          </w:p>
        </w:tc>
      </w:tr>
      <w:tr w14:paraId="74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6140D0E9">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消防电源监控</w:t>
            </w:r>
          </w:p>
        </w:tc>
      </w:tr>
      <w:tr w14:paraId="676A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A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5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EF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1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5DA35">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EB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315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5B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C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报警主机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22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201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65BD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A0428">
            <w:pPr>
              <w:jc w:val="center"/>
              <w:rPr>
                <w:rFonts w:hint="eastAsia" w:ascii="宋体" w:hAnsi="宋体" w:eastAsia="宋体" w:cs="宋体"/>
                <w:i w:val="0"/>
                <w:iCs w:val="0"/>
                <w:color w:val="000000"/>
                <w:sz w:val="22"/>
                <w:szCs w:val="22"/>
                <w:u w:val="none"/>
              </w:rPr>
            </w:pPr>
          </w:p>
        </w:tc>
      </w:tr>
      <w:tr w14:paraId="47E2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21C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E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现场监测模块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54B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7D5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6644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AFD21">
            <w:pPr>
              <w:jc w:val="center"/>
              <w:rPr>
                <w:rFonts w:hint="eastAsia" w:ascii="宋体" w:hAnsi="宋体" w:eastAsia="宋体" w:cs="宋体"/>
                <w:i w:val="0"/>
                <w:iCs w:val="0"/>
                <w:color w:val="000000"/>
                <w:sz w:val="22"/>
                <w:szCs w:val="22"/>
                <w:u w:val="none"/>
              </w:rPr>
            </w:pPr>
          </w:p>
        </w:tc>
      </w:tr>
      <w:tr w14:paraId="3753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0F8F508A">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稳压设备</w:t>
            </w:r>
          </w:p>
        </w:tc>
      </w:tr>
      <w:tr w14:paraId="5C5F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E90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64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8E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F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40F35">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1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738A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AAD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1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稳压罐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97C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ED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45BA">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62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EEA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D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06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A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FE1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16E7B">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2F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3千瓦</w:t>
            </w:r>
          </w:p>
        </w:tc>
      </w:tr>
      <w:tr w14:paraId="014F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0F6E6B5">
            <w:pPr>
              <w:keepNext w:val="0"/>
              <w:keepLines w:val="0"/>
              <w:widowControl/>
              <w:suppressLineNumbers w:val="0"/>
              <w:jc w:val="center"/>
              <w:textAlignment w:val="center"/>
              <w:rPr>
                <w:rFonts w:hint="eastAsia" w:ascii="宋体" w:hAnsi="宋体" w:eastAsia="宋体" w:cs="宋体"/>
                <w:i w:val="0"/>
                <w:iCs w:val="0"/>
                <w:snapToGrid w:val="0"/>
                <w:color w:val="000000"/>
                <w:kern w:val="0"/>
                <w:sz w:val="28"/>
                <w:szCs w:val="28"/>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防火门系统</w:t>
            </w:r>
          </w:p>
        </w:tc>
      </w:tr>
      <w:tr w14:paraId="41E8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DA2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9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4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D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A0F31">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B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46B6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2F7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9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B57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久远</w:t>
            </w:r>
            <w:r>
              <w:rPr>
                <w:rFonts w:hint="eastAsia" w:ascii="宋体" w:hAnsi="宋体" w:cs="宋体"/>
                <w:i w:val="0"/>
                <w:iCs w:val="0"/>
                <w:color w:val="000000"/>
                <w:sz w:val="22"/>
                <w:szCs w:val="22"/>
                <w:u w:val="none"/>
                <w:lang w:val="en-US" w:eastAsia="zh-CN"/>
              </w:rPr>
              <w:t>JF-FH1000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27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A17C5">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FA732">
            <w:pPr>
              <w:jc w:val="center"/>
              <w:rPr>
                <w:rFonts w:hint="eastAsia" w:ascii="宋体" w:hAnsi="宋体" w:eastAsia="宋体" w:cs="宋体"/>
                <w:i w:val="0"/>
                <w:iCs w:val="0"/>
                <w:color w:val="000000"/>
                <w:sz w:val="22"/>
                <w:szCs w:val="22"/>
                <w:u w:val="none"/>
              </w:rPr>
            </w:pPr>
          </w:p>
        </w:tc>
      </w:tr>
      <w:tr w14:paraId="7143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5D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3C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现场防火门设备（感应开关）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CCA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A82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1055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647C9">
            <w:pPr>
              <w:jc w:val="center"/>
              <w:rPr>
                <w:rFonts w:hint="eastAsia" w:ascii="宋体" w:hAnsi="宋体" w:eastAsia="宋体" w:cs="宋体"/>
                <w:i w:val="0"/>
                <w:iCs w:val="0"/>
                <w:color w:val="000000"/>
                <w:sz w:val="22"/>
                <w:szCs w:val="22"/>
                <w:u w:val="none"/>
              </w:rPr>
            </w:pPr>
          </w:p>
        </w:tc>
      </w:tr>
      <w:tr w14:paraId="11E1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059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0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防火卷帘门现场控制主机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1AD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B97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A0F6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33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2A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77556EBC">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灭火器</w:t>
            </w:r>
          </w:p>
        </w:tc>
      </w:tr>
      <w:tr w14:paraId="0485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29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D4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5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94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限</w:t>
            </w:r>
            <w:r>
              <w:rPr>
                <w:rFonts w:hint="eastAsia" w:ascii="宋体" w:hAnsi="宋体" w:eastAsia="宋体" w:cs="宋体"/>
                <w:i w:val="0"/>
                <w:iCs w:val="0"/>
                <w:snapToGrid w:val="0"/>
                <w:color w:val="000000"/>
                <w:kern w:val="0"/>
                <w:sz w:val="22"/>
                <w:szCs w:val="22"/>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52683">
            <w:pPr>
              <w:keepNext w:val="0"/>
              <w:keepLines w:val="0"/>
              <w:widowControl/>
              <w:suppressLineNumbers w:val="0"/>
              <w:jc w:val="center"/>
              <w:textAlignment w:val="center"/>
              <w:rPr>
                <w:rFonts w:hint="eastAsia" w:ascii="宋体" w:hAnsi="宋体" w:cs="宋体"/>
                <w:i w:val="0"/>
                <w:iCs w:val="0"/>
                <w:snapToGrid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0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0CE6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553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5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手提式干粉灭火器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C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BD2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AA0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5031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4KG</w:t>
            </w:r>
          </w:p>
        </w:tc>
      </w:tr>
      <w:tr w14:paraId="77D4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E20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18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手提式干粉灭火器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1F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296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8ED87">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BCB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2KG</w:t>
            </w:r>
          </w:p>
        </w:tc>
      </w:tr>
      <w:tr w14:paraId="42BE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D3B530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合计单价：</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5E39FBD3">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r>
    </w:tbl>
    <w:tbl>
      <w:tblPr>
        <w:tblStyle w:val="16"/>
        <w:tblpPr w:leftFromText="180" w:rightFromText="180" w:vertAnchor="text" w:horzAnchor="page" w:tblpX="2174"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328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58" w:type="dxa"/>
            <w:gridSpan w:val="2"/>
            <w:noWrap w:val="0"/>
            <w:vAlign w:val="center"/>
          </w:tcPr>
          <w:p w14:paraId="7B423D03">
            <w:pPr>
              <w:jc w:val="center"/>
              <w:rPr>
                <w:rFonts w:hint="eastAsia" w:eastAsia="宋体"/>
                <w:vertAlign w:val="baseline"/>
                <w:lang w:eastAsia="zh-CN"/>
              </w:rPr>
            </w:pPr>
            <w:r>
              <w:rPr>
                <w:rFonts w:hint="eastAsia"/>
                <w:sz w:val="24"/>
                <w:szCs w:val="24"/>
                <w:vertAlign w:val="baseline"/>
                <w:lang w:eastAsia="zh-CN"/>
              </w:rPr>
              <w:t>服务费报价表</w:t>
            </w:r>
          </w:p>
        </w:tc>
      </w:tr>
      <w:tr w14:paraId="4FF3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763" w:type="dxa"/>
            <w:noWrap w:val="0"/>
            <w:vAlign w:val="center"/>
          </w:tcPr>
          <w:p w14:paraId="63D2D131">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服务费</w:t>
            </w:r>
            <w:r>
              <w:rPr>
                <w:rFonts w:hint="eastAsia" w:ascii="Times New Roman" w:hAnsi="Times New Roman" w:eastAsia="宋体" w:cs="Times New Roman"/>
                <w:sz w:val="24"/>
                <w:szCs w:val="24"/>
                <w:vertAlign w:val="baseline"/>
                <w:lang w:eastAsia="zh-CN"/>
              </w:rPr>
              <w:t>报价（含税）</w:t>
            </w:r>
          </w:p>
        </w:tc>
        <w:tc>
          <w:tcPr>
            <w:tcW w:w="4995" w:type="dxa"/>
            <w:noWrap w:val="0"/>
            <w:vAlign w:val="center"/>
          </w:tcPr>
          <w:p w14:paraId="6BDE5A89">
            <w:pPr>
              <w:jc w:val="center"/>
              <w:rPr>
                <w:rFonts w:hint="default" w:ascii="Times New Roman" w:hAnsi="Times New Roman" w:eastAsia="宋体" w:cs="Times New Roman"/>
                <w:sz w:val="24"/>
                <w:szCs w:val="24"/>
                <w:u w:val="single"/>
                <w:vertAlign w:val="baseline"/>
                <w:lang w:val="en-US" w:eastAsia="zh-CN"/>
              </w:rPr>
            </w:pP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元/年，合计：</w:t>
            </w: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元/3年</w:t>
            </w:r>
          </w:p>
        </w:tc>
      </w:tr>
      <w:tr w14:paraId="1FA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763" w:type="dxa"/>
            <w:noWrap w:val="0"/>
            <w:vAlign w:val="center"/>
          </w:tcPr>
          <w:p w14:paraId="120B9EBB">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最终报价</w:t>
            </w:r>
          </w:p>
        </w:tc>
        <w:tc>
          <w:tcPr>
            <w:tcW w:w="4995" w:type="dxa"/>
            <w:noWrap w:val="0"/>
            <w:vAlign w:val="center"/>
          </w:tcPr>
          <w:p w14:paraId="334338DE">
            <w:pPr>
              <w:jc w:val="both"/>
              <w:rPr>
                <w:rFonts w:hint="default" w:ascii="Times New Roman" w:hAnsi="Times New Roman" w:eastAsia="宋体" w:cs="Times New Roman"/>
                <w:sz w:val="24"/>
                <w:szCs w:val="24"/>
                <w:vertAlign w:val="baseline"/>
                <w:lang w:val="en-US" w:eastAsia="zh-CN"/>
              </w:rPr>
            </w:pPr>
            <w:r>
              <w:rPr>
                <w:rFonts w:hint="eastAsia" w:cs="Times New Roman"/>
                <w:sz w:val="24"/>
                <w:szCs w:val="24"/>
                <w:vertAlign w:val="baseline"/>
                <w:lang w:val="en-US" w:eastAsia="zh-CN"/>
              </w:rPr>
              <w:t>（现场二次报价）</w:t>
            </w:r>
          </w:p>
        </w:tc>
      </w:tr>
    </w:tbl>
    <w:p w14:paraId="6692510A">
      <w:pPr>
        <w:rPr>
          <w:rFonts w:hint="eastAsia"/>
        </w:rPr>
      </w:pPr>
    </w:p>
    <w:p w14:paraId="64890A62">
      <w:pPr>
        <w:rPr>
          <w:rFonts w:hint="eastAsia"/>
        </w:rPr>
      </w:pPr>
    </w:p>
    <w:p w14:paraId="5484F3B8">
      <w:pPr>
        <w:pStyle w:val="6"/>
        <w:rPr>
          <w:rFonts w:hint="eastAsia" w:ascii="宋体" w:hAnsi="宋体" w:eastAsia="宋体" w:cs="Times New Roman"/>
          <w:sz w:val="24"/>
          <w:lang w:val="en-US" w:eastAsia="zh-CN"/>
        </w:rPr>
      </w:pPr>
      <w:r>
        <w:rPr>
          <w:rFonts w:hint="eastAsia" w:ascii="宋体" w:hAnsi="宋体" w:eastAsia="宋体" w:cs="Times New Roman"/>
          <w:sz w:val="24"/>
          <w:lang w:val="en-US" w:eastAsia="zh-CN"/>
        </w:rPr>
        <w:t>注：以人民币报价。报价包含管理费、人工费、税金等履约过程涉及的所有费用。</w:t>
      </w:r>
    </w:p>
    <w:p w14:paraId="25BE50E9">
      <w:pPr>
        <w:rPr>
          <w:rFonts w:hint="eastAsia"/>
        </w:rPr>
      </w:pPr>
    </w:p>
    <w:p w14:paraId="742DF0F3">
      <w:pPr>
        <w:rPr>
          <w:rFonts w:hint="eastAsia"/>
        </w:rPr>
      </w:pPr>
    </w:p>
    <w:p w14:paraId="5D337EB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公司名称（盖章）：</w:t>
      </w:r>
    </w:p>
    <w:p w14:paraId="0198ECE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法定代表或授权代表（签字或盖章）：</w:t>
      </w:r>
    </w:p>
    <w:p w14:paraId="4B8B98C2">
      <w:pPr>
        <w:rPr>
          <w:rFonts w:hint="eastAsia" w:ascii="宋体" w:hAnsi="宋体"/>
          <w:bCs/>
          <w:kern w:val="0"/>
          <w:sz w:val="24"/>
          <w:szCs w:val="24"/>
          <w:lang w:eastAsia="zh-CN"/>
        </w:rPr>
      </w:pPr>
      <w:r>
        <w:rPr>
          <w:rFonts w:hint="eastAsia" w:ascii="宋体" w:hAnsi="宋体"/>
          <w:bCs/>
          <w:kern w:val="0"/>
          <w:sz w:val="24"/>
          <w:szCs w:val="24"/>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7"/>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0"/>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7"/>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7"/>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8"/>
          <w:rFonts w:hint="eastAsia" w:ascii="宋体" w:hAnsi="宋体" w:cs="宋体"/>
          <w:b/>
          <w:bCs/>
          <w:i w:val="0"/>
          <w:iCs w:val="0"/>
          <w:caps w:val="0"/>
          <w:color w:val="auto"/>
          <w:spacing w:val="0"/>
          <w:kern w:val="0"/>
          <w:sz w:val="24"/>
          <w:szCs w:val="24"/>
          <w:shd w:val="clear" w:color="auto" w:fill="FFFFFF"/>
          <w:lang w:val="en-US" w:eastAsia="zh-CN" w:bidi="ar"/>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6C8025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908A1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附件十：</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404F45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附件十一：</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5B8D22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（格式自拟）</w:t>
      </w:r>
    </w:p>
    <w:p w14:paraId="60FB27F0">
      <w:pPr>
        <w:pStyle w:val="10"/>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708036C">
            <w:pPr>
              <w:pStyle w:val="25"/>
              <w:spacing w:before="86" w:line="219" w:lineRule="auto"/>
              <w:ind w:left="86"/>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按要求提</w:t>
            </w:r>
            <w:r>
              <w:rPr>
                <w:rFonts w:hint="eastAsia" w:asciiTheme="minorEastAsia" w:hAnsiTheme="minorEastAsia" w:eastAsiaTheme="minorEastAsia" w:cstheme="minorEastAsia"/>
                <w:spacing w:val="-1"/>
                <w:sz w:val="24"/>
                <w:szCs w:val="24"/>
                <w:lang w:eastAsia="zh-CN"/>
              </w:rPr>
              <w:t>供</w:t>
            </w:r>
            <w:r>
              <w:rPr>
                <w:rFonts w:hint="eastAsia" w:asciiTheme="minorEastAsia" w:hAnsiTheme="minorEastAsia" w:eastAsiaTheme="minorEastAsia" w:cstheme="minorEastAsia"/>
                <w:spacing w:val="-1"/>
                <w:sz w:val="24"/>
                <w:szCs w:val="24"/>
              </w:rPr>
              <w:t>。</w:t>
            </w:r>
          </w:p>
          <w:p w14:paraId="58AC8807">
            <w:pPr>
              <w:pStyle w:val="25"/>
              <w:spacing w:before="86" w:line="219" w:lineRule="auto"/>
              <w:ind w:left="86"/>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kern w:val="2"/>
                <w:sz w:val="24"/>
                <w:szCs w:val="24"/>
                <w:lang w:val="en-US" w:eastAsia="zh-CN" w:bidi="ar-SA"/>
              </w:rPr>
              <w:t>近三年未在信用中国（www.creditchina.gov.cn）和中国政府采购网（www.ccgp.gov. cn）未被列入失信被执行人、重大税收违法案件当事人或政府采购严重违法失信行为记录名单；（提供查询记录截图）</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center"/>
          </w:tcPr>
          <w:p w14:paraId="74CD5043">
            <w:pPr>
              <w:pStyle w:val="25"/>
              <w:spacing w:before="62" w:line="248" w:lineRule="auto"/>
              <w:ind w:left="34" w:right="10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审细则及标准</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3746"/>
        <w:gridCol w:w="1145"/>
        <w:gridCol w:w="1551"/>
      </w:tblGrid>
      <w:tr w14:paraId="6C58F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vAlign w:val="center"/>
          </w:tcPr>
          <w:p w14:paraId="364C3D0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评审内容</w:t>
            </w:r>
          </w:p>
        </w:tc>
        <w:tc>
          <w:tcPr>
            <w:tcW w:w="2198" w:type="pct"/>
            <w:vAlign w:val="center"/>
          </w:tcPr>
          <w:p w14:paraId="3CD5173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具体标准和要求</w:t>
            </w:r>
          </w:p>
        </w:tc>
        <w:tc>
          <w:tcPr>
            <w:tcW w:w="672" w:type="pct"/>
            <w:vAlign w:val="center"/>
          </w:tcPr>
          <w:p w14:paraId="1B23E358">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分值</w:t>
            </w:r>
          </w:p>
        </w:tc>
        <w:tc>
          <w:tcPr>
            <w:tcW w:w="910" w:type="pct"/>
            <w:vAlign w:val="center"/>
          </w:tcPr>
          <w:p w14:paraId="2F8D1464">
            <w:pPr>
              <w:pStyle w:val="22"/>
              <w:jc w:val="center"/>
              <w:rPr>
                <w:rFonts w:hint="eastAsia" w:asciiTheme="minorEastAsia" w:hAnsiTheme="minorEastAsia" w:eastAsiaTheme="minorEastAsia" w:cstheme="minorEastAsia"/>
                <w:spacing w:val="-1"/>
                <w:kern w:val="2"/>
                <w:sz w:val="24"/>
                <w:szCs w:val="24"/>
                <w:lang w:val="en-US" w:eastAsia="zh-CN" w:bidi="ar-SA"/>
              </w:rPr>
            </w:pPr>
            <w:r>
              <w:rPr>
                <w:rFonts w:hint="eastAsia" w:asciiTheme="minorEastAsia" w:hAnsiTheme="minorEastAsia" w:eastAsiaTheme="minorEastAsia" w:cstheme="minorEastAsia"/>
                <w:spacing w:val="-1"/>
                <w:kern w:val="2"/>
                <w:sz w:val="24"/>
                <w:szCs w:val="24"/>
                <w:lang w:val="en-US" w:eastAsia="zh-CN" w:bidi="ar-SA"/>
              </w:rPr>
              <w:t>备注</w:t>
            </w:r>
          </w:p>
        </w:tc>
      </w:tr>
      <w:tr w14:paraId="2DD51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61975784">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服务方案</w:t>
            </w:r>
          </w:p>
        </w:tc>
        <w:tc>
          <w:tcPr>
            <w:tcW w:w="2198" w:type="pct"/>
          </w:tcPr>
          <w:p w14:paraId="65AAC98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针对本项目制定的总体管理方案进行综合评审，包含：</w:t>
            </w:r>
          </w:p>
          <w:p w14:paraId="40879001">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（1）项目管理服务架构与维护服务流程；</w:t>
            </w:r>
          </w:p>
          <w:p w14:paraId="0BB51A0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（2）详细的保养计划表；</w:t>
            </w:r>
          </w:p>
          <w:p w14:paraId="3A1BDA7C">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（3）故障响应时间、技术支持、服务配合及工作安排等；</w:t>
            </w:r>
          </w:p>
          <w:p w14:paraId="78E6C09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（4）备品备件保障措施；</w:t>
            </w:r>
          </w:p>
          <w:p w14:paraId="00D9834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（5）人员培训方案。</w:t>
            </w:r>
          </w:p>
          <w:p w14:paraId="03F8D3A0">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30</w:t>
            </w:r>
            <w:r>
              <w:rPr>
                <w:rFonts w:hint="eastAsia" w:asciiTheme="minorEastAsia" w:hAnsiTheme="minorEastAsia" w:eastAsiaTheme="minorEastAsia" w:cstheme="minorEastAsia"/>
                <w:sz w:val="18"/>
                <w:szCs w:val="18"/>
                <w:lang w:val="en-US" w:eastAsia="zh-CN"/>
              </w:rPr>
              <w:t>分，每缺漏一项内容扣6分，内容中每出现一处缺陷的扣</w:t>
            </w:r>
            <w:r>
              <w:rPr>
                <w:rFonts w:hint="eastAsia" w:asciiTheme="minorEastAsia" w:hAnsiTheme="minorEastAsia" w:eastAsiaTheme="minorEastAsia" w:cstheme="minorEastAsia"/>
                <w:kern w:val="0"/>
                <w:sz w:val="18"/>
                <w:szCs w:val="18"/>
                <w:lang w:val="en-US" w:eastAsia="zh-CN" w:bidi="ar"/>
              </w:rPr>
              <w:t>3</w:t>
            </w:r>
            <w:r>
              <w:rPr>
                <w:rFonts w:hint="eastAsia" w:asciiTheme="minorEastAsia" w:hAnsiTheme="minorEastAsia" w:eastAsiaTheme="minorEastAsia" w:cstheme="minorEastAsia"/>
                <w:sz w:val="18"/>
                <w:szCs w:val="18"/>
                <w:lang w:val="en-US" w:eastAsia="zh-CN"/>
              </w:rPr>
              <w:t>分，扣完为止。</w:t>
            </w:r>
          </w:p>
          <w:p w14:paraId="7E73B62D">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缺漏是指未提供对应内容或仅有标题、无针对本项目的实质内容。缺陷是指非专门针对本项目或者套用其他项目方案、内容与项目需求不一致或没有关联性、内容前后冲突、涉及的规范和标准有误等任意一种情形）</w:t>
            </w:r>
          </w:p>
        </w:tc>
        <w:tc>
          <w:tcPr>
            <w:tcW w:w="672" w:type="pct"/>
            <w:vAlign w:val="center"/>
          </w:tcPr>
          <w:p w14:paraId="3CAFCEAC">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30</w:t>
            </w:r>
          </w:p>
        </w:tc>
        <w:tc>
          <w:tcPr>
            <w:tcW w:w="910" w:type="pct"/>
          </w:tcPr>
          <w:p w14:paraId="3501DCB9">
            <w:pPr>
              <w:pStyle w:val="22"/>
              <w:jc w:val="left"/>
              <w:rPr>
                <w:rFonts w:hint="eastAsia" w:asciiTheme="minorEastAsia" w:hAnsiTheme="minorEastAsia" w:eastAsiaTheme="minorEastAsia" w:cstheme="minorEastAsia"/>
                <w:sz w:val="18"/>
                <w:szCs w:val="18"/>
                <w:lang w:eastAsia="zh-CN"/>
              </w:rPr>
            </w:pPr>
          </w:p>
        </w:tc>
      </w:tr>
      <w:tr w14:paraId="324B6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0138028F">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highlight w:val="none"/>
              </w:rPr>
              <w:t>服务质量保证措施</w:t>
            </w:r>
          </w:p>
        </w:tc>
        <w:tc>
          <w:tcPr>
            <w:tcW w:w="2198" w:type="pct"/>
          </w:tcPr>
          <w:p w14:paraId="23FC249F">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针对本项目制定的项目服务、保障方案进行综合评审，包含：</w:t>
            </w:r>
          </w:p>
          <w:p w14:paraId="3537A1F7">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（1）服务质量体系控制；</w:t>
            </w:r>
          </w:p>
          <w:p w14:paraId="7DA90B10">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（2）工作制度（服务流程管理控制）；</w:t>
            </w:r>
          </w:p>
          <w:p w14:paraId="2FCE12BD">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（3）质量保障措施；</w:t>
            </w:r>
          </w:p>
          <w:p w14:paraId="10318FA1">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（4）内部管理制度；</w:t>
            </w:r>
          </w:p>
          <w:p w14:paraId="6792346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（5）应对设备及其他突发故障制定合理应急预案。</w:t>
            </w:r>
          </w:p>
          <w:p w14:paraId="6F541184">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15</w:t>
            </w:r>
            <w:r>
              <w:rPr>
                <w:rFonts w:hint="eastAsia" w:asciiTheme="minorEastAsia" w:hAnsiTheme="minorEastAsia" w:eastAsiaTheme="minorEastAsia" w:cstheme="minorEastAsia"/>
                <w:sz w:val="18"/>
                <w:szCs w:val="18"/>
                <w:lang w:val="en-US" w:eastAsia="zh-CN"/>
              </w:rPr>
              <w:t>分，每缺漏一项内容扣3分，内容中每出现一处缺陷的扣</w:t>
            </w:r>
            <w:r>
              <w:rPr>
                <w:rFonts w:hint="eastAsia" w:asciiTheme="minorEastAsia" w:hAnsiTheme="minorEastAsia" w:eastAsiaTheme="minorEastAsia" w:cstheme="minorEastAsia"/>
                <w:kern w:val="0"/>
                <w:sz w:val="18"/>
                <w:szCs w:val="18"/>
                <w:lang w:val="en-US" w:eastAsia="zh-CN" w:bidi="ar"/>
              </w:rPr>
              <w:t>1.5</w:t>
            </w:r>
            <w:r>
              <w:rPr>
                <w:rFonts w:hint="eastAsia" w:asciiTheme="minorEastAsia" w:hAnsiTheme="minorEastAsia" w:eastAsiaTheme="minorEastAsia" w:cstheme="minorEastAsia"/>
                <w:sz w:val="18"/>
                <w:szCs w:val="18"/>
                <w:lang w:val="en-US" w:eastAsia="zh-CN"/>
              </w:rPr>
              <w:t>分，扣完为止。</w:t>
            </w:r>
          </w:p>
          <w:p w14:paraId="3BEFD3A7">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缺漏是指未提供对应内容或仅有标题、无针对本项目的实质内容。缺陷是指非专门针对本项目或者套用其他项目方案、内容与项目需求不一致或没有关联性、内容前后冲突、涉及的规范和标准有误等任意一种情形）</w:t>
            </w:r>
          </w:p>
        </w:tc>
        <w:tc>
          <w:tcPr>
            <w:tcW w:w="672" w:type="pct"/>
            <w:vAlign w:val="center"/>
          </w:tcPr>
          <w:p w14:paraId="7CC212B8">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15</w:t>
            </w:r>
          </w:p>
        </w:tc>
        <w:tc>
          <w:tcPr>
            <w:tcW w:w="910" w:type="pct"/>
          </w:tcPr>
          <w:p w14:paraId="5A1C1EED">
            <w:pPr>
              <w:pStyle w:val="22"/>
              <w:jc w:val="left"/>
              <w:rPr>
                <w:rFonts w:hint="eastAsia" w:asciiTheme="minorEastAsia" w:hAnsiTheme="minorEastAsia" w:eastAsiaTheme="minorEastAsia" w:cstheme="minorEastAsia"/>
                <w:sz w:val="18"/>
                <w:szCs w:val="18"/>
                <w:lang w:eastAsia="zh-CN"/>
              </w:rPr>
            </w:pPr>
          </w:p>
        </w:tc>
      </w:tr>
      <w:tr w14:paraId="2667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43AF2585">
            <w:pPr>
              <w:pStyle w:val="22"/>
              <w:jc w:val="left"/>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应急抢修保证措施</w:t>
            </w:r>
          </w:p>
        </w:tc>
        <w:tc>
          <w:tcPr>
            <w:tcW w:w="2198" w:type="pct"/>
          </w:tcPr>
          <w:p w14:paraId="5A4C30B6">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提供与采购需求相关的</w:t>
            </w:r>
            <w:r>
              <w:rPr>
                <w:rFonts w:hint="eastAsia" w:asciiTheme="minorEastAsia" w:hAnsiTheme="minorEastAsia" w:eastAsiaTheme="minorEastAsia" w:cstheme="minorEastAsia"/>
                <w:color w:val="000000"/>
                <w:sz w:val="18"/>
                <w:szCs w:val="18"/>
                <w:highlight w:val="none"/>
              </w:rPr>
              <w:t>应急抢修保证措施</w:t>
            </w:r>
            <w:r>
              <w:rPr>
                <w:rFonts w:hint="eastAsia" w:asciiTheme="minorEastAsia" w:hAnsiTheme="minorEastAsia" w:eastAsiaTheme="minorEastAsia" w:cstheme="minorEastAsia"/>
                <w:sz w:val="18"/>
                <w:szCs w:val="18"/>
                <w:lang w:val="en-US" w:eastAsia="zh-CN"/>
              </w:rPr>
              <w:t>，包括：</w:t>
            </w:r>
          </w:p>
          <w:p w14:paraId="3AAF8C8C">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（1）配备固定的应急抢修施工技术人员；</w:t>
            </w:r>
          </w:p>
          <w:p w14:paraId="0575110F">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（2）制定抢修方案；</w:t>
            </w:r>
          </w:p>
          <w:p w14:paraId="094CB74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（3）配备维修工器具及安全装备；</w:t>
            </w:r>
          </w:p>
          <w:p w14:paraId="24FC098A">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（4）响应到场时间。</w:t>
            </w:r>
          </w:p>
          <w:p w14:paraId="4DE84DA3">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上述内容符合采购需求，且无缺漏、缺陷的计</w:t>
            </w:r>
            <w:r>
              <w:rPr>
                <w:rFonts w:hint="eastAsia" w:asciiTheme="minorEastAsia" w:hAnsiTheme="minorEastAsia" w:eastAsiaTheme="minorEastAsia" w:cstheme="minorEastAsia"/>
                <w:kern w:val="0"/>
                <w:sz w:val="18"/>
                <w:szCs w:val="18"/>
                <w:lang w:val="en-US" w:eastAsia="zh-CN" w:bidi="ar"/>
              </w:rPr>
              <w:t>10</w:t>
            </w:r>
            <w:r>
              <w:rPr>
                <w:rFonts w:hint="eastAsia" w:asciiTheme="minorEastAsia" w:hAnsiTheme="minorEastAsia" w:eastAsiaTheme="minorEastAsia" w:cstheme="minorEastAsia"/>
                <w:sz w:val="18"/>
                <w:szCs w:val="18"/>
                <w:lang w:val="en-US" w:eastAsia="zh-CN"/>
              </w:rPr>
              <w:t>分，每缺漏一项内容扣2.5分，内容中每出现一处缺陷的扣</w:t>
            </w:r>
            <w:r>
              <w:rPr>
                <w:rFonts w:hint="eastAsia" w:asciiTheme="minorEastAsia" w:hAnsiTheme="minorEastAsia" w:eastAsiaTheme="minorEastAsia" w:cstheme="minorEastAsia"/>
                <w:kern w:val="0"/>
                <w:sz w:val="18"/>
                <w:szCs w:val="18"/>
                <w:lang w:val="en-US" w:eastAsia="zh-CN" w:bidi="ar"/>
              </w:rPr>
              <w:t>1</w:t>
            </w:r>
            <w:r>
              <w:rPr>
                <w:rFonts w:hint="eastAsia" w:asciiTheme="minorEastAsia" w:hAnsiTheme="minorEastAsia" w:eastAsiaTheme="minorEastAsia" w:cstheme="minorEastAsia"/>
                <w:sz w:val="18"/>
                <w:szCs w:val="18"/>
                <w:lang w:val="en-US" w:eastAsia="zh-CN"/>
              </w:rPr>
              <w:t>分，扣完为止。</w:t>
            </w:r>
          </w:p>
        </w:tc>
        <w:tc>
          <w:tcPr>
            <w:tcW w:w="672" w:type="pct"/>
            <w:vAlign w:val="center"/>
          </w:tcPr>
          <w:p w14:paraId="22DF1DD5">
            <w:pPr>
              <w:pStyle w:val="22"/>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10</w:t>
            </w:r>
          </w:p>
        </w:tc>
        <w:tc>
          <w:tcPr>
            <w:tcW w:w="910" w:type="pct"/>
          </w:tcPr>
          <w:p w14:paraId="55CB2C3B">
            <w:pPr>
              <w:pStyle w:val="22"/>
              <w:jc w:val="left"/>
              <w:rPr>
                <w:rFonts w:hint="eastAsia" w:asciiTheme="minorEastAsia" w:hAnsiTheme="minorEastAsia" w:eastAsiaTheme="minorEastAsia" w:cstheme="minorEastAsia"/>
                <w:sz w:val="18"/>
                <w:szCs w:val="18"/>
                <w:lang w:eastAsia="zh-CN"/>
              </w:rPr>
            </w:pPr>
          </w:p>
        </w:tc>
      </w:tr>
      <w:tr w14:paraId="07288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1104C7FF">
            <w:pPr>
              <w:pStyle w:val="22"/>
              <w:jc w:val="left"/>
              <w:rPr>
                <w:rFonts w:hint="eastAsia" w:asciiTheme="minorEastAsia" w:hAnsiTheme="minorEastAsia" w:eastAsiaTheme="minorEastAsia" w:cstheme="minorEastAsia"/>
                <w:color w:val="000000"/>
                <w:sz w:val="18"/>
                <w:szCs w:val="18"/>
                <w:highlight w:val="none"/>
                <w:lang w:eastAsia="zh-CN"/>
              </w:rPr>
            </w:pPr>
            <w:r>
              <w:rPr>
                <w:rFonts w:hint="eastAsia" w:asciiTheme="minorEastAsia" w:hAnsiTheme="minorEastAsia" w:cstheme="minorEastAsia"/>
                <w:color w:val="000000"/>
                <w:sz w:val="18"/>
                <w:szCs w:val="18"/>
                <w:highlight w:val="none"/>
                <w:lang w:eastAsia="zh-CN"/>
              </w:rPr>
              <w:t>技术参数要求</w:t>
            </w:r>
          </w:p>
        </w:tc>
        <w:tc>
          <w:tcPr>
            <w:tcW w:w="2198" w:type="pct"/>
          </w:tcPr>
          <w:p w14:paraId="61DE57FD">
            <w:pPr>
              <w:keepNext w:val="0"/>
              <w:keepLines w:val="0"/>
              <w:pageBreakBefore w:val="0"/>
              <w:widowControl/>
              <w:numPr>
                <w:ilvl w:val="0"/>
                <w:numId w:val="0"/>
              </w:numPr>
              <w:suppressLineNumbers w:val="0"/>
              <w:kinsoku/>
              <w:wordWrap/>
              <w:overflowPunct/>
              <w:topLinePunct w:val="0"/>
              <w:autoSpaceDE/>
              <w:autoSpaceDN/>
              <w:bidi w:val="0"/>
              <w:snapToGrid w:val="0"/>
              <w:spacing w:before="45" w:beforeAutospacing="0" w:after="0" w:afterAutospacing="0" w:line="288"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响应文件完全满足比选文件技术要求条款的，得16分。带“★”条款（共8大项）的技术得分：每有一项要求不满足扣2分。扣完为止，但不视为响应文件无效。【注：①带“★”条款为实质性要求，不允许负偏离；②针对技术要求条款的响应，如技术要求需提供证明材料的，投标人须按要求提供证明材料，否则对应条款将视为不满足。③本项所述的条款数量按以下原则计算：无子项的条款：以每项条款为1项进行计算；有子项的条款：以最末级的子项为1项进行计算。】</w:t>
            </w:r>
          </w:p>
        </w:tc>
        <w:tc>
          <w:tcPr>
            <w:tcW w:w="672" w:type="pct"/>
            <w:vAlign w:val="center"/>
          </w:tcPr>
          <w:p w14:paraId="67ED81F4">
            <w:pPr>
              <w:pStyle w:val="22"/>
              <w:jc w:val="center"/>
              <w:rPr>
                <w:rFonts w:hint="default" w:asciiTheme="minorEastAsia" w:hAnsiTheme="minorEastAsia" w:eastAsia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16</w:t>
            </w:r>
          </w:p>
        </w:tc>
        <w:tc>
          <w:tcPr>
            <w:tcW w:w="910" w:type="pct"/>
          </w:tcPr>
          <w:p w14:paraId="70C17670">
            <w:pPr>
              <w:pStyle w:val="22"/>
              <w:jc w:val="left"/>
              <w:rPr>
                <w:rFonts w:hint="eastAsia" w:asciiTheme="minorEastAsia" w:hAnsiTheme="minorEastAsia" w:cstheme="minorEastAsia"/>
                <w:sz w:val="18"/>
                <w:szCs w:val="18"/>
                <w:lang w:eastAsia="zh-CN"/>
              </w:rPr>
            </w:pPr>
          </w:p>
        </w:tc>
      </w:tr>
      <w:tr w14:paraId="3DB84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190B5B09">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人员配置</w:t>
            </w:r>
          </w:p>
        </w:tc>
        <w:tc>
          <w:tcPr>
            <w:tcW w:w="2198" w:type="pct"/>
          </w:tcPr>
          <w:p w14:paraId="6902C77D">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针对本项目拟派人员：</w:t>
            </w:r>
          </w:p>
          <w:p w14:paraId="53B58F8F">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1、项目负责人（6分）：</w:t>
            </w:r>
          </w:p>
          <w:p w14:paraId="15382802">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拟派项目负责人具有注册消防工程师证计3分；具有机电工程专业二级或以上注册建造师的计3分，本项最多计 6分。</w:t>
            </w:r>
          </w:p>
          <w:p w14:paraId="790DB71E">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2、技术负责人（3分）：</w:t>
            </w:r>
          </w:p>
          <w:p w14:paraId="339AEA8C">
            <w:pPr>
              <w:keepNext w:val="0"/>
              <w:keepLines w:val="0"/>
              <w:pageBreakBefore w:val="0"/>
              <w:numPr>
                <w:ilvl w:val="0"/>
                <w:numId w:val="0"/>
              </w:numPr>
              <w:kinsoku/>
              <w:wordWrap/>
              <w:overflowPunct/>
              <w:topLinePunct w:val="0"/>
              <w:autoSpaceDE/>
              <w:autoSpaceDN/>
              <w:bidi w:val="0"/>
              <w:spacing w:line="288" w:lineRule="auto"/>
              <w:contextualSpacing/>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lang w:val="en-US" w:eastAsia="zh-CN"/>
              </w:rPr>
              <w:t>拟派技术负责人具有相关专业高级职称证的计3分，具有相关专业中级工程师证的计1分，本项最多计3分</w:t>
            </w:r>
          </w:p>
        </w:tc>
        <w:tc>
          <w:tcPr>
            <w:tcW w:w="672" w:type="pct"/>
            <w:vAlign w:val="center"/>
          </w:tcPr>
          <w:p w14:paraId="3756EA24">
            <w:pPr>
              <w:pStyle w:val="22"/>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val="en-US" w:eastAsia="zh-CN"/>
              </w:rPr>
              <w:t>9</w:t>
            </w:r>
          </w:p>
        </w:tc>
        <w:tc>
          <w:tcPr>
            <w:tcW w:w="910" w:type="pct"/>
          </w:tcPr>
          <w:p w14:paraId="0330CC08">
            <w:pPr>
              <w:pStyle w:val="22"/>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b/>
                <w:bCs/>
                <w:sz w:val="18"/>
                <w:szCs w:val="18"/>
                <w:lang w:eastAsia="zh-CN"/>
              </w:rPr>
              <w:t>根据技术服务要求第</w:t>
            </w:r>
            <w:r>
              <w:rPr>
                <w:rFonts w:hint="eastAsia" w:asciiTheme="minorEastAsia" w:hAnsiTheme="minorEastAsia" w:cstheme="minorEastAsia"/>
                <w:b/>
                <w:bCs/>
                <w:sz w:val="18"/>
                <w:szCs w:val="18"/>
                <w:lang w:val="en-US" w:eastAsia="zh-CN"/>
              </w:rPr>
              <w:t>4点提供，未提供不得分</w:t>
            </w:r>
          </w:p>
        </w:tc>
      </w:tr>
      <w:tr w14:paraId="2403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pct"/>
          </w:tcPr>
          <w:p w14:paraId="39CCEEE6">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履约能力</w:t>
            </w:r>
          </w:p>
        </w:tc>
        <w:tc>
          <w:tcPr>
            <w:tcW w:w="2198" w:type="pct"/>
          </w:tcPr>
          <w:p w14:paraId="2B9921FD">
            <w:pPr>
              <w:pStyle w:val="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投标人提供202</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年1月1日至今已完成或正在承接的类似业绩</w:t>
            </w:r>
            <w:r>
              <w:rPr>
                <w:rFonts w:hint="eastAsia" w:asciiTheme="minorEastAsia" w:hAnsiTheme="minorEastAsia" w:eastAsiaTheme="minorEastAsia" w:cstheme="minorEastAsia"/>
                <w:sz w:val="18"/>
                <w:szCs w:val="18"/>
                <w:lang w:eastAsia="zh-CN"/>
              </w:rPr>
              <w:t>得</w:t>
            </w:r>
            <w:r>
              <w:rPr>
                <w:rFonts w:hint="eastAsia" w:asciiTheme="minorEastAsia" w:hAnsiTheme="minorEastAsia" w:eastAsiaTheme="minorEastAsia" w:cstheme="minorEastAsia"/>
                <w:sz w:val="18"/>
                <w:szCs w:val="18"/>
                <w:lang w:val="en-US" w:eastAsia="zh-CN"/>
              </w:rPr>
              <w:t>4分</w:t>
            </w:r>
            <w:r>
              <w:rPr>
                <w:rFonts w:hint="eastAsia" w:asciiTheme="minorEastAsia" w:hAnsiTheme="minorEastAsia" w:eastAsiaTheme="minorEastAsia" w:cstheme="minorEastAsia"/>
                <w:sz w:val="18"/>
                <w:szCs w:val="18"/>
              </w:rPr>
              <w:t>，每</w:t>
            </w:r>
            <w:r>
              <w:rPr>
                <w:rFonts w:hint="eastAsia" w:asciiTheme="minorEastAsia" w:hAnsiTheme="minorEastAsia" w:cstheme="minorEastAsia"/>
                <w:sz w:val="18"/>
                <w:szCs w:val="18"/>
                <w:lang w:eastAsia="zh-CN"/>
              </w:rPr>
              <w:t>增加</w:t>
            </w:r>
            <w:r>
              <w:rPr>
                <w:rFonts w:hint="eastAsia" w:asciiTheme="minorEastAsia" w:hAnsiTheme="minorEastAsia" w:eastAsiaTheme="minorEastAsia" w:cstheme="minorEastAsia"/>
                <w:sz w:val="18"/>
                <w:szCs w:val="18"/>
              </w:rPr>
              <w:t>一个得</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分，本项最多得10分，未提供的不得分。</w:t>
            </w:r>
          </w:p>
        </w:tc>
        <w:tc>
          <w:tcPr>
            <w:tcW w:w="672" w:type="pct"/>
            <w:vAlign w:val="center"/>
          </w:tcPr>
          <w:p w14:paraId="72A13A6C">
            <w:pPr>
              <w:pStyle w:val="22"/>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10.0000</w:t>
            </w:r>
          </w:p>
        </w:tc>
        <w:tc>
          <w:tcPr>
            <w:tcW w:w="910" w:type="pct"/>
          </w:tcPr>
          <w:p w14:paraId="0E63EEED">
            <w:pPr>
              <w:pStyle w:val="22"/>
              <w:jc w:val="left"/>
              <w:rPr>
                <w:rFonts w:hint="eastAsia" w:asciiTheme="minorEastAsia" w:hAnsiTheme="minorEastAsia" w:eastAsiaTheme="minorEastAsia" w:cstheme="minorEastAsia"/>
                <w:sz w:val="18"/>
                <w:szCs w:val="18"/>
              </w:rPr>
            </w:pPr>
            <w:r>
              <w:rPr>
                <w:rFonts w:hint="eastAsia" w:asciiTheme="minorEastAsia" w:hAnsiTheme="minorEastAsia" w:cstheme="minorEastAsia"/>
                <w:b/>
                <w:bCs/>
                <w:sz w:val="18"/>
                <w:szCs w:val="18"/>
                <w:lang w:val="en-US" w:eastAsia="zh-CN"/>
              </w:rPr>
              <w:t>须</w:t>
            </w:r>
            <w:r>
              <w:rPr>
                <w:rFonts w:hint="eastAsia" w:asciiTheme="minorEastAsia" w:hAnsiTheme="minorEastAsia" w:eastAsiaTheme="minorEastAsia" w:cstheme="minorEastAsia"/>
                <w:b/>
                <w:bCs/>
                <w:sz w:val="18"/>
                <w:szCs w:val="18"/>
                <w:lang w:val="en-US" w:eastAsia="zh-CN"/>
              </w:rPr>
              <w:t>提供中标（成交）通知书或合同复印件加盖公章。</w:t>
            </w:r>
          </w:p>
        </w:tc>
      </w:tr>
      <w:tr w14:paraId="205BC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1219" w:type="pct"/>
            <w:vMerge w:val="restart"/>
          </w:tcPr>
          <w:p w14:paraId="4A1DFC50">
            <w:pPr>
              <w:pStyle w:val="22"/>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服务报价</w:t>
            </w:r>
          </w:p>
        </w:tc>
        <w:tc>
          <w:tcPr>
            <w:tcW w:w="2198" w:type="pct"/>
          </w:tcPr>
          <w:p w14:paraId="595C9D7A">
            <w:pPr>
              <w:pStyle w:val="22"/>
              <w:jc w:val="left"/>
              <w:rPr>
                <w:rFonts w:hint="eastAsia" w:asciiTheme="minorEastAsia" w:hAnsiTheme="minorEastAsia" w:cstheme="minorEastAsia"/>
                <w:sz w:val="18"/>
                <w:szCs w:val="18"/>
                <w:lang w:eastAsia="zh-CN"/>
              </w:rPr>
            </w:pPr>
            <w:r>
              <w:rPr>
                <w:rFonts w:hint="eastAsia" w:asciiTheme="minorEastAsia" w:hAnsiTheme="minorEastAsia" w:cstheme="minorEastAsia"/>
                <w:sz w:val="18"/>
                <w:szCs w:val="18"/>
                <w:lang w:val="en-US" w:eastAsia="zh-CN"/>
              </w:rPr>
              <w:t>服务费：以本次符合要求的最低参选报价为基准价，报价得分=（基准价／投标报价）×8%×100。</w:t>
            </w:r>
          </w:p>
        </w:tc>
        <w:tc>
          <w:tcPr>
            <w:tcW w:w="672" w:type="pct"/>
            <w:vMerge w:val="restart"/>
            <w:vAlign w:val="center"/>
          </w:tcPr>
          <w:p w14:paraId="2D6D0032">
            <w:pPr>
              <w:pStyle w:val="22"/>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1</w:t>
            </w:r>
            <w:r>
              <w:rPr>
                <w:rFonts w:hint="eastAsia" w:asciiTheme="minorEastAsia" w:hAnsiTheme="minorEastAsia" w:eastAsiaTheme="minorEastAsia" w:cstheme="minorEastAsia"/>
                <w:b/>
                <w:bCs/>
                <w:sz w:val="18"/>
                <w:szCs w:val="18"/>
              </w:rPr>
              <w:t>0.0000</w:t>
            </w:r>
          </w:p>
        </w:tc>
        <w:tc>
          <w:tcPr>
            <w:tcW w:w="910" w:type="pct"/>
            <w:vMerge w:val="restart"/>
          </w:tcPr>
          <w:p w14:paraId="4086E149">
            <w:pPr>
              <w:pStyle w:val="22"/>
              <w:jc w:val="left"/>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b/>
                <w:bCs/>
                <w:sz w:val="18"/>
                <w:szCs w:val="18"/>
                <w:lang w:eastAsia="zh-CN"/>
              </w:rPr>
              <w:t>该项目总分</w:t>
            </w:r>
            <w:r>
              <w:rPr>
                <w:rFonts w:hint="eastAsia" w:asciiTheme="minorEastAsia" w:hAnsiTheme="minorEastAsia" w:cstheme="minorEastAsia"/>
                <w:b/>
                <w:bCs/>
                <w:sz w:val="18"/>
                <w:szCs w:val="18"/>
                <w:lang w:val="en-US" w:eastAsia="zh-CN"/>
              </w:rPr>
              <w:t>10分，不报价或未汇总单价不得分</w:t>
            </w:r>
          </w:p>
        </w:tc>
      </w:tr>
      <w:tr w14:paraId="6CD18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 w:hRule="atLeast"/>
        </w:trPr>
        <w:tc>
          <w:tcPr>
            <w:tcW w:w="1219" w:type="pct"/>
            <w:vMerge w:val="continue"/>
          </w:tcPr>
          <w:p w14:paraId="30BFDA51">
            <w:pPr>
              <w:pStyle w:val="22"/>
              <w:jc w:val="left"/>
            </w:pPr>
          </w:p>
        </w:tc>
        <w:tc>
          <w:tcPr>
            <w:tcW w:w="2198" w:type="pct"/>
          </w:tcPr>
          <w:p w14:paraId="495867FD">
            <w:pPr>
              <w:pStyle w:val="22"/>
              <w:jc w:val="left"/>
              <w:rPr>
                <w:rFonts w:hint="eastAsia" w:asciiTheme="minorEastAsia" w:hAnsiTheme="minorEastAsia" w:cstheme="minorEastAsia"/>
                <w:sz w:val="18"/>
                <w:szCs w:val="18"/>
                <w:lang w:eastAsia="zh-CN"/>
              </w:rPr>
            </w:pPr>
            <w:r>
              <w:rPr>
                <w:rFonts w:hint="eastAsia" w:asciiTheme="minorEastAsia" w:hAnsiTheme="minorEastAsia" w:cstheme="minorEastAsia"/>
                <w:sz w:val="18"/>
                <w:szCs w:val="18"/>
                <w:lang w:val="en-US" w:eastAsia="zh-CN"/>
              </w:rPr>
              <w:t>常用零配件：以本次符合要求的参选报价的单价总价最低报价为基准价，报价得分=（基准价／投标报价）×2%×100。</w:t>
            </w:r>
          </w:p>
        </w:tc>
        <w:tc>
          <w:tcPr>
            <w:tcW w:w="672" w:type="pct"/>
            <w:vMerge w:val="continue"/>
            <w:vAlign w:val="center"/>
          </w:tcPr>
          <w:p w14:paraId="0E53BB72">
            <w:pPr>
              <w:pStyle w:val="22"/>
              <w:jc w:val="left"/>
              <w:rPr>
                <w:rFonts w:hint="eastAsia" w:asciiTheme="minorEastAsia" w:hAnsiTheme="minorEastAsia" w:eastAsiaTheme="minorEastAsia" w:cstheme="minorEastAsia"/>
                <w:sz w:val="18"/>
                <w:szCs w:val="18"/>
              </w:rPr>
            </w:pPr>
          </w:p>
        </w:tc>
        <w:tc>
          <w:tcPr>
            <w:tcW w:w="910" w:type="pct"/>
            <w:vMerge w:val="continue"/>
          </w:tcPr>
          <w:p w14:paraId="3CC8C83A">
            <w:pPr>
              <w:pStyle w:val="22"/>
              <w:jc w:val="left"/>
              <w:rPr>
                <w:rFonts w:hint="eastAsia" w:asciiTheme="minorEastAsia" w:hAnsiTheme="minorEastAsia" w:eastAsiaTheme="minorEastAsia" w:cstheme="minorEastAsia"/>
                <w:sz w:val="18"/>
                <w:szCs w:val="18"/>
              </w:rPr>
            </w:pPr>
          </w:p>
        </w:tc>
      </w:tr>
    </w:tbl>
    <w:p w14:paraId="4054DAA8">
      <w:pPr>
        <w:spacing w:line="360" w:lineRule="auto"/>
        <w:jc w:val="left"/>
        <w:rPr>
          <w:rFonts w:hint="eastAsia" w:ascii="宋体" w:hAnsi="宋体" w:cs="宋体"/>
          <w:color w:val="000000"/>
        </w:rPr>
      </w:pPr>
      <w:r>
        <w:rPr>
          <w:rFonts w:hint="eastAsia" w:ascii="宋体" w:hAnsi="宋体" w:cs="宋体"/>
          <w:color w:val="000000"/>
          <w:sz w:val="24"/>
        </w:rPr>
        <w:t>注：评分的取值按四舍五入法，保留小数点后两位。</w:t>
      </w:r>
    </w:p>
    <w:p w14:paraId="49871C4E">
      <w:pPr>
        <w:numPr>
          <w:ilvl w:val="0"/>
          <w:numId w:val="0"/>
        </w:numPr>
        <w:ind w:firstLine="480" w:firstLineChars="200"/>
        <w:rPr>
          <w:rFonts w:hint="eastAsia" w:asciiTheme="minorEastAsia" w:hAnsiTheme="minorEastAsia" w:eastAsiaTheme="minorEastAsia" w:cstheme="minorEastAsia"/>
          <w:sz w:val="24"/>
          <w:szCs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D556465"/>
    <w:rsid w:val="0E796E97"/>
    <w:rsid w:val="1772678E"/>
    <w:rsid w:val="178A63C4"/>
    <w:rsid w:val="190E6B38"/>
    <w:rsid w:val="1A70502E"/>
    <w:rsid w:val="205B4263"/>
    <w:rsid w:val="257C72E1"/>
    <w:rsid w:val="262557C8"/>
    <w:rsid w:val="291458F7"/>
    <w:rsid w:val="292B58C9"/>
    <w:rsid w:val="2A9B5B59"/>
    <w:rsid w:val="2B35658D"/>
    <w:rsid w:val="2BB70AC7"/>
    <w:rsid w:val="353D3A46"/>
    <w:rsid w:val="3A39358D"/>
    <w:rsid w:val="3CEF76C4"/>
    <w:rsid w:val="3F397DD7"/>
    <w:rsid w:val="3F9B2FC3"/>
    <w:rsid w:val="462A24BE"/>
    <w:rsid w:val="4C3C0B3D"/>
    <w:rsid w:val="52E71802"/>
    <w:rsid w:val="61A979D6"/>
    <w:rsid w:val="63C0498B"/>
    <w:rsid w:val="66042C1F"/>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Subtitle"/>
    <w:basedOn w:val="1"/>
    <w:qFormat/>
    <w:uiPriority w:val="0"/>
    <w:rPr>
      <w:kern w:val="2"/>
      <w:sz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5755</Words>
  <Characters>6265</Characters>
  <Lines>0</Lines>
  <Paragraphs>0</Paragraphs>
  <TotalTime>43</TotalTime>
  <ScaleCrop>false</ScaleCrop>
  <LinksUpToDate>false</LinksUpToDate>
  <CharactersWithSpaces>6538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2026-04-09T03:00:09Z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F0366C4B3F03412283882F408684EC81_13</vt:lpwstr>
  </property>
  <property fmtid="{D5CDD505-2E9C-101B-9397-08002B2CF9AE}" pid="4" name="KSOTemplateDocerSaveRecord">
    <vt:lpwstr>eyJoZGlkIjoiMWU5NjNjMGEzYjgxN2ZkODZiMmM5ZDg3YzJlMDczMmIiLCJ1c2VySWQiOiIxNzUwNTYzNDQyIn0=</vt:lpwstr>
  </property>
</Properties>
</file>