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ED0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“妇幼全生命周期健康管理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采购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需求</w:t>
      </w:r>
    </w:p>
    <w:p w14:paraId="1D3A55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一、 项目背景与建设目标 </w:t>
      </w:r>
    </w:p>
    <w:p w14:paraId="0DB87EB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为积极响应国家“生育友好”政策号召，顺应医疗行业数字化转型趋势，提升我院对辖区妇女儿童全生命周期的健康管理能力与服务品质，解决当前存在的“信息孤岛”、患者管理粗放、服务效率有待提升等问题，拟采购一套“妇幼全生命周期健康管理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系统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”。</w:t>
      </w:r>
    </w:p>
    <w:p w14:paraId="4878547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建设目标：</w:t>
      </w:r>
    </w:p>
    <w:p w14:paraId="001374F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数据整合：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打破院内各科室及院外系统间的数据壁垒，构建以身份证号为唯一标识的区域级妇幼健康大数据中台。</w:t>
      </w:r>
    </w:p>
    <w:p w14:paraId="6B9C44F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服务提效</w:t>
      </w: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引入AI人工智能技术，实现患者宣教、随访、咨询等工作的自动化与智能化，降低人力成本，提升服务响应速度与覆盖面。</w:t>
      </w:r>
    </w:p>
    <w:p w14:paraId="661DB30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精细管理：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实现对辖区妇幼人群的动态分层、精准标签与个性化干预，从“被动接诊”转向“主动服务”，提升患者依从性与满意度。</w:t>
      </w:r>
    </w:p>
    <w:p w14:paraId="47A4586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业务增长：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通过全生命周期管理，延长服务链条，挖掘存量客户价值，带动产后康复、儿童保健、妇科等延伸业务增长，助力医院高质量发展。</w:t>
      </w:r>
    </w:p>
    <w:p w14:paraId="41719A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二、 采购标的的功能及质量要求 </w:t>
      </w:r>
    </w:p>
    <w:p w14:paraId="5960636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本次采购的软件系统应采用“数据中台+AI”双引擎技术架构，涵盖软件开发、部署、AI模型训练、系统对接及运营辅导等全套服务。具体要求如下：</w:t>
      </w:r>
    </w:p>
    <w:p w14:paraId="1C1A50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（一） 总体技术要求 </w:t>
      </w:r>
    </w:p>
    <w:p w14:paraId="5FE6B48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技术架构：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采用微服务架构，支持高并发访问与弹性扩展；系统需具备高可用性，确保7×24小时稳定运行。</w:t>
      </w:r>
    </w:p>
    <w:p w14:paraId="46C62F3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数据安全：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系统必须具备完善的数据安全防护机制。敏感数据（如患者姓名、身份证号、联系方式等）在展示、导出、打印时必须进行脱敏处理（如加掩码）。用户权限需精细化管控，严格限制数据访问、导出和打印权限。</w:t>
      </w:r>
    </w:p>
    <w:p w14:paraId="0E837A7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系统集成：</w:t>
      </w:r>
    </w:p>
    <w:p w14:paraId="57CF55B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必须能与院内现有HIS、LIS、PACS、集成平台等核心业务系统实现无缝对接，实现数据双向互通。</w:t>
      </w:r>
    </w:p>
    <w:p w14:paraId="0B12E30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必须能对接省、市级妇幼信息平台，实现婚检、孕优、围产、儿保等数据的自动上报，避免二次录入。</w:t>
      </w:r>
    </w:p>
    <w:p w14:paraId="055209A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需预留标准化接口，支持与基层医疗卫生信息系统、全民健康信息平台、出生医学证明系统、计划免疫系统等外部系统对接。</w:t>
      </w:r>
    </w:p>
    <w:p w14:paraId="7434FFB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信创支持：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根据国家和医院政策要求，系统需支持免费升级为信创产品，适配国产操作系统、数据库及中间件。</w:t>
      </w:r>
    </w:p>
    <w:p w14:paraId="499A52E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移动化支持：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需对接医院微信公众号，实现手机端自助建档、产检提醒、报告查询、健康宣教推送等功能。同时支持与企业微信对接，实现内部协作与患者管理。</w:t>
      </w:r>
    </w:p>
    <w:p w14:paraId="0BD459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（二） 功能模块详细要求 </w:t>
      </w:r>
    </w:p>
    <w:p w14:paraId="32EF1F8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系统需覆盖从婚前、孕前、围产、分娩、产后、儿保到两癌筛查的妇女儿童全生命周期，具体功能模块及参数要求如下：</w:t>
      </w:r>
    </w:p>
    <w:tbl>
      <w:tblPr>
        <w:tblStyle w:val="11"/>
        <w:tblW w:w="8522" w:type="dxa"/>
        <w:jc w:val="center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071"/>
        <w:gridCol w:w="6580"/>
      </w:tblGrid>
      <w:tr w14:paraId="34DC199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60F721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模块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BE3052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子模块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384FAB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功能及参数要求</w:t>
            </w:r>
          </w:p>
        </w:tc>
      </w:tr>
      <w:tr w14:paraId="662BA4D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4BDFB9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婚前/孕前数据中心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F65765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数据看板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100DED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支持按选定日期、网格化（乡镇/街道）维度，可视化展示婚检/孕优登记人数、检查进度、阳性率等关键指标。</w:t>
            </w:r>
          </w:p>
        </w:tc>
      </w:tr>
      <w:tr w14:paraId="43174C1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61C351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766236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业务管理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3BA28F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支持男女双方婚姻/孕优登记、检查（一般、体格、生殖、检验、影像）、报告出具（支持5/10日等多种时限）、评估建议一键生成、叶酸发放管理、早孕及妊娠结局随访。</w:t>
            </w:r>
          </w:p>
        </w:tc>
      </w:tr>
      <w:tr w14:paraId="239611A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3D204C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92D5F3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数据查询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8E75AD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支持按多种条件（日期、姓名、身份证号等）查询登记明细、检查明细、阳性汇总及网格化统计报表。</w:t>
            </w:r>
          </w:p>
        </w:tc>
      </w:tr>
      <w:tr w14:paraId="0772B54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8EFFD3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E77197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客户追访运维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4E4671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自动生成追访任务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针对婚检/孕检已孕、未孕、异常诊断等人群，自动生成追访任务并匹配至相应科室。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过程管理：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提供追访管理明细表，记录每次追访结果，便于考核。</w:t>
            </w:r>
          </w:p>
        </w:tc>
      </w:tr>
      <w:tr w14:paraId="780A8E0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9A17874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围产数据中心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199E18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数据看板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113BBA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可视化展示在孕妇女的孕周占比、妊娠结局占比、年龄占比（35岁以下/以上），以及网格化辖区孕情统计。</w:t>
            </w:r>
          </w:p>
        </w:tc>
      </w:tr>
      <w:tr w14:paraId="2EEAF30D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61BF7F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F8A7438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高危数据看板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AFD4B4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直观呈现高危妊娠风险评估等级分布情况，支持钻取查看详情。</w:t>
            </w:r>
          </w:p>
        </w:tc>
      </w:tr>
      <w:tr w14:paraId="33394DC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2F491E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C95A15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追访功能看板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C0F7AA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实时监控孕期复诊未到、高危妊娠、符合分娩孕周等追访任务的执行情况，并进行追访结果分析与满意度统计。</w:t>
            </w:r>
          </w:p>
        </w:tc>
      </w:tr>
      <w:tr w14:paraId="30C2FA3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67F438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0E52C8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业务管理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A57B8C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支持孕妇建档、首诊记录、产检记录等全流程信息化管理。</w:t>
            </w:r>
          </w:p>
        </w:tc>
      </w:tr>
      <w:tr w14:paraId="25ADC28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C78E78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7A800D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数据查询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FE9DCD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支持多维筛选（建档日期、孕周、高危因素等）查询建档孕妇、就诊、高危孕妇明细。支持按医生统计就诊数据，支持查询预产期追访、复诊率等运营数据。</w:t>
            </w:r>
          </w:p>
        </w:tc>
      </w:tr>
      <w:tr w14:paraId="00130F28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50229E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FAF13F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客户运维管理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4CD82D7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自动化追访：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对复诊未到、高危孕妇、临近分娩孕妇自动发起追访。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标签化：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追访过程中支持添加客户标签、记录结果与满意度。</w:t>
            </w:r>
          </w:p>
        </w:tc>
      </w:tr>
      <w:tr w14:paraId="02C90AA2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34A388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分娩数据中心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4931CF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数据看板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7657D6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展示分娩方式占比、新生儿性别/出生结局占比，以及网格化辖区内分娩人数分布。</w:t>
            </w:r>
          </w:p>
        </w:tc>
      </w:tr>
      <w:tr w14:paraId="369B0813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C81506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5F5D7D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业务管理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88D5FE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支持完整的《分娩记录》，包含母亲/父亲信息、分娩情况、产时/产程记录及新生儿信息。</w:t>
            </w:r>
          </w:p>
        </w:tc>
      </w:tr>
      <w:tr w14:paraId="5E9E7B2E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B68390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7459C1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数据查询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3BC15E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支持查询产妇列表及新生儿出生报告卡。</w:t>
            </w:r>
          </w:p>
        </w:tc>
      </w:tr>
      <w:tr w14:paraId="093CB53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1D1A55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693643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客户运维管理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ED492F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对外院分娩的产妇进行追访，掌握辖区孕产妇流向。</w:t>
            </w:r>
          </w:p>
        </w:tc>
      </w:tr>
      <w:tr w14:paraId="1421BFD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0F076A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产后数据中心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44B945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产后复查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1F05A4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支持产后复查信息录入，并按高危因素、异常情况、分娩天数等进行筛选查询。</w:t>
            </w:r>
          </w:p>
        </w:tc>
      </w:tr>
      <w:tr w14:paraId="26779C4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228B0D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51F661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客户运维管理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4C451A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自动生成产后未复查、产后分娩客户的追访任务，并提供追访明细查询。</w:t>
            </w:r>
          </w:p>
        </w:tc>
      </w:tr>
      <w:tr w14:paraId="5088DBB6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49B317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儿保数据中心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866EB7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业务管理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5CDD5F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支持0-6岁儿童建档（含监护人信息）及定期健康查体记录。</w:t>
            </w:r>
          </w:p>
        </w:tc>
      </w:tr>
      <w:tr w14:paraId="5787F6EA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F90BED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DCF926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数据查询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62AD2E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支持按建档/查体日期查询儿童建档明细及健康查体明细。</w:t>
            </w:r>
          </w:p>
        </w:tc>
      </w:tr>
      <w:tr w14:paraId="0E81DFE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69E51A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两癌数据中心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1829BE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数据看板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5A726E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展示院内/院外查体组建档人数、两癌（乳腺癌、宫颈癌）查体情况及网格化乡镇查体进度。</w:t>
            </w:r>
          </w:p>
        </w:tc>
      </w:tr>
      <w:tr w14:paraId="6BBDE7F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3F3FA5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8CF549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业务管理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601A8D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支持查体登记（区分院内/院外组），并按照国家标准流程记录宫颈癌（妇科检查、HPV、TCT、阴道镜、病理等）及乳腺癌（临床、彩超、钼靶、病理等）的完整检查与诊断信息。</w:t>
            </w:r>
          </w:p>
        </w:tc>
      </w:tr>
      <w:tr w14:paraId="639E6EF7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DC4132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7934D29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数据查询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1F2CBE3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支持查询查体登记、宫颈癌/乳腺癌检查明细及异常明细。</w:t>
            </w:r>
          </w:p>
        </w:tc>
      </w:tr>
      <w:tr w14:paraId="7452D75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FFA1D3A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统计分析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D4C4E1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科室项目考核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6BDFFCC6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支持自定义考核周期，对责任科室的各项运营指标（如追访完成率、复诊率等）进行量化考核与评估。</w:t>
            </w:r>
          </w:p>
        </w:tc>
      </w:tr>
      <w:tr w14:paraId="5D10EAC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91B0A5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51C399C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微信客户管理</w:t>
            </w:r>
          </w:p>
        </w:tc>
        <w:tc>
          <w:tcPr>
            <w:tcW w:w="6580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0EA61D9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基于数据中台，对微信端客户进行智能化、精准化的追访与健康管理。</w:t>
            </w:r>
          </w:p>
        </w:tc>
      </w:tr>
    </w:tbl>
    <w:p w14:paraId="1586A48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24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AI智能应用及流程自动化要求 </w:t>
      </w:r>
    </w:p>
    <w:tbl>
      <w:tblPr>
        <w:tblStyle w:val="11"/>
        <w:tblW w:w="8323" w:type="dxa"/>
        <w:jc w:val="center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7587"/>
      </w:tblGrid>
      <w:tr w14:paraId="3FDBA7CF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2EA1CBD1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功能</w:t>
            </w:r>
          </w:p>
        </w:tc>
        <w:tc>
          <w:tcPr>
            <w:tcW w:w="7587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296E8E7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</w:rPr>
              <w:t>详细参数要求</w:t>
            </w:r>
          </w:p>
        </w:tc>
      </w:tr>
      <w:tr w14:paraId="3E1796E0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B6E575B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AI智能应用平台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7587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52CCC90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采用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RAG + LLM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的主流技术架构，搭建专属的妇幼保健人工智能场景应用平台。</w:t>
            </w:r>
          </w:p>
        </w:tc>
      </w:tr>
      <w:tr w14:paraId="7EE5DC7C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5197FA8E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AI模型训练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7587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1DE7719A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基于医院提供的区域妇幼保健特色数据、各岗位与患者的对话集、科室文档等资料，结合海量医疗文献与妇幼知识库，训练出覆盖孕前、中、后全周期的专属AI模型。数据需经清洗和脱敏后方可用于训练。</w:t>
            </w:r>
          </w:p>
        </w:tc>
      </w:tr>
      <w:tr w14:paraId="68450DB1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B70A3C8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AI多角色应用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7587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4CC8C17D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至少训练并部署以下AI角色：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1.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AI咨询客服：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基于患者症状和历史记录，提供7×24小时的专业健康咨询与就医指导。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2.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AI预问诊：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帮助轻症患者来院前进行自我评估，收集症状信息，初步评估病情，指导就医。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3.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AI患者随访员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自动对各类应检未检、脱落、高危、术后、产后等人群进行电话或文字随访，了解健康状况，发现潜在问题。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4.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AI健康教育员：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根据患者所处周期（如孕期、产后、育儿期）及健康状况，个性化推送定制化的健康知识和康复指南。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5.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AI满意度调查员：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精准、定时地向目标患者发送满意度调查问卷，自动收集反馈并生成分析报告。</w:t>
            </w:r>
          </w:p>
        </w:tc>
      </w:tr>
      <w:tr w14:paraId="0EE8AD9B"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36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1681E7F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流程自动化技术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</w:t>
            </w:r>
          </w:p>
        </w:tc>
        <w:tc>
          <w:tcPr>
            <w:tcW w:w="7587" w:type="dxa"/>
            <w:tcBorders>
              <w:top w:val="single" w:color="E0E0E0" w:sz="4" w:space="0"/>
              <w:left w:val="single" w:color="E0E0E0" w:sz="4" w:space="0"/>
              <w:bottom w:val="single" w:color="E0E0E0" w:sz="4" w:space="0"/>
              <w:right w:val="single" w:color="E0E0E0" w:sz="4" w:space="0"/>
            </w:tcBorders>
            <w:shd w:val="clear" w:color="auto" w:fill="auto"/>
            <w:vAlign w:val="center"/>
          </w:tcPr>
          <w:p w14:paraId="3EB6AB9D">
            <w:pPr>
              <w:pStyle w:val="10"/>
              <w:keepNext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1.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RPA机器人：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模拟人工操作，自动执行报告推送、预约提醒、重复性随访等任务，力争替代70%的人工客服工作量。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2.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业务流程自动化：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设计与RPA配合的自动化流程，确保患者管理任务在正确时间、由正确角色、按正确步骤完成。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3.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患者分群体系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通过数据中台自动抓取患者信息，按年龄、病史、行为、依从性等多维度自动分层，作为所有自动化流程的触发器。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4.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AI全生命周期智能流转：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实现患者信息在不同科室间的自动流转。例如，围产期结束后，患者信息自动转入儿保和产后康复科；产后6个月，信息自动转入育龄女性健康管理科。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5.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标签自动化体系：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结合AI沟通与数据中台，根据患者的行为、沟通内容等自动为其打上精准标签，用于驱动后续的个性化服务。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6. </w:t>
            </w:r>
            <w:r>
              <w:rPr>
                <w:rStyle w:val="14"/>
                <w:rFonts w:hint="eastAsia" w:ascii="方正仿宋简体" w:hAnsi="方正仿宋简体" w:eastAsia="方正仿宋简体" w:cs="方正仿宋简体"/>
                <w:sz w:val="28"/>
                <w:szCs w:val="28"/>
              </w:rPr>
              <w:t>预构建内容精准推送：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​ 基于患者画像和消费预测，自动推送个性化的健康宣教、复诊提醒、服务推荐等内容。</w:t>
            </w:r>
          </w:p>
        </w:tc>
      </w:tr>
    </w:tbl>
    <w:p w14:paraId="709C4E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（四） 运营管理咨询及服务要求 </w:t>
      </w:r>
    </w:p>
    <w:p w14:paraId="0FE7267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为确保系统落地见效，供应商需提供以下配套服务：</w:t>
      </w:r>
    </w:p>
    <w:p w14:paraId="2B8667E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SOP标准化流程梳理：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专业团队驻场，指导各临床科室梳理并制定适用于本院的健康宣教、服务提醒、跟踪回访和咨询答疑的SOP标准化操作流程。</w:t>
      </w:r>
    </w:p>
    <w:p w14:paraId="6A8A298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应用培训与考核：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对全院相关科室人员进行系统化应用培训，并制定精准的考评办法。</w:t>
      </w:r>
    </w:p>
    <w:p w14:paraId="2631641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运营辅导伴跑服务：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提供为期一年的专业团队驻场辅导，深度参与系统运营，帮助医院建立线上线下一体化患者服务中心，指导成立运营管理科，并根据系统数据不断优化服务流程。</w:t>
      </w:r>
    </w:p>
    <w:p w14:paraId="77504A8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sz w:val="28"/>
          <w:szCs w:val="28"/>
        </w:rPr>
        <w:t>系统维保：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提供系统上线后的稳定运行保障、故障响应排查及软件升级服务。</w:t>
      </w:r>
    </w:p>
    <w:p w14:paraId="26FAA704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Style w:val="14"/>
          <w:rFonts w:hint="eastAsia" w:ascii="方正仿宋简体" w:hAnsi="方正仿宋简体" w:eastAsia="方正仿宋简体" w:cs="方正仿宋简体"/>
          <w:b/>
          <w:sz w:val="28"/>
          <w:szCs w:val="28"/>
        </w:rPr>
        <w:t>实施周期：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项目整体建设周期约为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Style w:val="14"/>
          <w:rFonts w:hint="eastAsia" w:ascii="方正仿宋简体" w:hAnsi="方正仿宋简体" w:eastAsia="方正仿宋简体" w:cs="方正仿宋简体"/>
          <w:b/>
          <w:sz w:val="28"/>
          <w:szCs w:val="28"/>
        </w:rPr>
        <w:t>个月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。</w:t>
      </w:r>
    </w:p>
    <w:p w14:paraId="7D8C6703">
      <w:pPr>
        <w:numPr>
          <w:numId w:val="0"/>
        </w:numPr>
        <w:rPr>
          <w:rFonts w:hint="eastAsia"/>
        </w:rPr>
      </w:pPr>
    </w:p>
    <w:p w14:paraId="51156B57">
      <w:pPr>
        <w:numPr>
          <w:numId w:val="0"/>
        </w:numPr>
        <w:rPr>
          <w:rFonts w:hint="eastAsia"/>
        </w:rPr>
      </w:pPr>
    </w:p>
    <w:p w14:paraId="7B9CA2A6">
      <w:pPr>
        <w:numPr>
          <w:numId w:val="0"/>
        </w:numPr>
        <w:rPr>
          <w:rFonts w:hint="default" w:eastAsiaTheme="minor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eastAsia="zh-CN"/>
        </w:rPr>
        <w:t>注：本次调研需进行系统的现场演示讲解，限时约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20-25分钟。</w:t>
      </w:r>
    </w:p>
    <w:p w14:paraId="4DAB8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5B8F8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40309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5B6BD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50145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7FF0C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21AE2C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266A8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5B2AE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p w14:paraId="118AB785">
      <w:pPr>
        <w:pStyle w:val="15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21EA9516">
      <w:pPr>
        <w:pStyle w:val="15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769641E5">
      <w:pPr>
        <w:pStyle w:val="15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705277C3">
      <w:pPr>
        <w:pStyle w:val="15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77882EA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474A212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0C8A3D35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2671E4F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01C94A9C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32EE953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3F10DEB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007D7092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4B9A416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4BBF4C6F">
      <w:pPr>
        <w:pStyle w:val="15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05A7CA70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47DCAC3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0FA36A1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6A15D89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7AE593C9">
      <w:pPr>
        <w:pStyle w:val="9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64643E4">
      <w:pPr>
        <w:pStyle w:val="9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11EB79CE">
      <w:pPr>
        <w:pStyle w:val="5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BED1C5F">
      <w:pPr>
        <w:pStyle w:val="5"/>
        <w:spacing w:after="0"/>
        <w:rPr>
          <w:rFonts w:ascii="黑体" w:eastAsia="黑体"/>
        </w:rPr>
      </w:pPr>
    </w:p>
    <w:p w14:paraId="19E3B7B4">
      <w:pPr>
        <w:pStyle w:val="5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3372E2CC">
      <w:pPr>
        <w:pStyle w:val="5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732DF050">
      <w:pPr>
        <w:pStyle w:val="5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C8CC10"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B52450B">
      <w:pPr>
        <w:pStyle w:val="5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3A30D9F4">
      <w:pPr>
        <w:pStyle w:val="5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0E6CC6FD">
      <w:pPr>
        <w:pStyle w:val="5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0C9419BE">
      <w:pPr>
        <w:pStyle w:val="5"/>
        <w:spacing w:after="0" w:line="480" w:lineRule="exact"/>
        <w:ind w:left="-2" w:firstLine="480"/>
        <w:rPr>
          <w:sz w:val="24"/>
        </w:rPr>
      </w:pPr>
    </w:p>
    <w:p w14:paraId="13553670">
      <w:pPr>
        <w:pStyle w:val="6"/>
        <w:rPr>
          <w:sz w:val="24"/>
        </w:rPr>
      </w:pPr>
    </w:p>
    <w:p w14:paraId="0FD8D099">
      <w:pPr>
        <w:pStyle w:val="6"/>
        <w:rPr>
          <w:sz w:val="24"/>
        </w:rPr>
      </w:pPr>
    </w:p>
    <w:p w14:paraId="647E7041">
      <w:pPr>
        <w:pStyle w:val="5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58C5DFD6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51477E16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2CF58FE9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2F5FB5CE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6F0BB64B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836F812">
      <w:pPr>
        <w:pStyle w:val="5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D7BD66A">
      <w:pPr>
        <w:pStyle w:val="5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0356C36">
      <w:pPr>
        <w:pStyle w:val="5"/>
        <w:spacing w:after="0"/>
        <w:rPr>
          <w:rFonts w:eastAsia="黑体"/>
        </w:rPr>
      </w:pPr>
    </w:p>
    <w:p w14:paraId="12F08205">
      <w:pPr>
        <w:pStyle w:val="5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54FD73FE">
      <w:pPr>
        <w:pStyle w:val="5"/>
        <w:spacing w:after="0" w:line="460" w:lineRule="exact"/>
        <w:jc w:val="center"/>
        <w:rPr>
          <w:b/>
          <w:sz w:val="32"/>
        </w:rPr>
      </w:pPr>
    </w:p>
    <w:p w14:paraId="0C6230E2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891306">
      <w:pPr>
        <w:pStyle w:val="5"/>
        <w:spacing w:after="0" w:line="460" w:lineRule="exact"/>
        <w:rPr>
          <w:sz w:val="24"/>
        </w:rPr>
      </w:pPr>
    </w:p>
    <w:p w14:paraId="5B8F5472">
      <w:pPr>
        <w:pStyle w:val="5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76642E7F">
      <w:pPr>
        <w:pStyle w:val="5"/>
        <w:spacing w:after="0" w:line="460" w:lineRule="exact"/>
        <w:rPr>
          <w:sz w:val="24"/>
        </w:rPr>
      </w:pPr>
    </w:p>
    <w:p w14:paraId="18A8DFCB">
      <w:pPr>
        <w:pStyle w:val="5"/>
        <w:spacing w:after="0" w:line="460" w:lineRule="exact"/>
        <w:rPr>
          <w:sz w:val="24"/>
        </w:rPr>
      </w:pPr>
    </w:p>
    <w:p w14:paraId="6749477E">
      <w:pPr>
        <w:pStyle w:val="5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1CFB5DD4">
      <w:pPr>
        <w:pStyle w:val="5"/>
        <w:spacing w:after="0" w:line="460" w:lineRule="exact"/>
        <w:rPr>
          <w:sz w:val="24"/>
        </w:rPr>
      </w:pPr>
    </w:p>
    <w:p w14:paraId="1A8A4DDF">
      <w:pPr>
        <w:pStyle w:val="5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2B08D589">
      <w:pPr>
        <w:pStyle w:val="5"/>
        <w:spacing w:after="0" w:line="460" w:lineRule="exact"/>
        <w:rPr>
          <w:sz w:val="24"/>
        </w:rPr>
      </w:pPr>
    </w:p>
    <w:p w14:paraId="245A429B">
      <w:pPr>
        <w:pStyle w:val="5"/>
        <w:spacing w:after="0" w:line="460" w:lineRule="exact"/>
        <w:rPr>
          <w:sz w:val="24"/>
        </w:rPr>
      </w:pPr>
    </w:p>
    <w:p w14:paraId="57437FC3">
      <w:pPr>
        <w:pStyle w:val="5"/>
        <w:spacing w:after="0" w:line="460" w:lineRule="exact"/>
        <w:rPr>
          <w:sz w:val="24"/>
        </w:rPr>
      </w:pPr>
    </w:p>
    <w:p w14:paraId="1121A11F">
      <w:pPr>
        <w:pStyle w:val="5"/>
        <w:spacing w:after="0" w:line="460" w:lineRule="exact"/>
        <w:rPr>
          <w:sz w:val="24"/>
        </w:rPr>
      </w:pPr>
    </w:p>
    <w:p w14:paraId="08DCFF0C">
      <w:pPr>
        <w:pStyle w:val="5"/>
        <w:spacing w:after="0" w:line="460" w:lineRule="exact"/>
        <w:rPr>
          <w:sz w:val="24"/>
        </w:rPr>
      </w:pPr>
    </w:p>
    <w:p w14:paraId="0FE2136A">
      <w:pPr>
        <w:pStyle w:val="5"/>
        <w:spacing w:after="0" w:line="460" w:lineRule="exact"/>
        <w:rPr>
          <w:sz w:val="24"/>
        </w:rPr>
      </w:pPr>
    </w:p>
    <w:p w14:paraId="5E0EF00F">
      <w:pPr>
        <w:pStyle w:val="5"/>
        <w:spacing w:after="0" w:line="460" w:lineRule="exact"/>
        <w:rPr>
          <w:sz w:val="24"/>
        </w:rPr>
      </w:pPr>
    </w:p>
    <w:p w14:paraId="29558FB7">
      <w:pPr>
        <w:pStyle w:val="5"/>
        <w:spacing w:after="0" w:line="460" w:lineRule="exact"/>
        <w:rPr>
          <w:sz w:val="24"/>
        </w:rPr>
      </w:pPr>
    </w:p>
    <w:p w14:paraId="774B5CD0">
      <w:pPr>
        <w:pStyle w:val="5"/>
        <w:spacing w:after="0" w:line="460" w:lineRule="exact"/>
        <w:rPr>
          <w:sz w:val="24"/>
        </w:rPr>
      </w:pPr>
    </w:p>
    <w:p w14:paraId="502BDFF1">
      <w:pPr>
        <w:pStyle w:val="5"/>
        <w:spacing w:after="0" w:line="460" w:lineRule="exact"/>
        <w:rPr>
          <w:sz w:val="24"/>
        </w:rPr>
      </w:pPr>
    </w:p>
    <w:p w14:paraId="602BCC5A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0E1D0975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0E020616">
      <w:pPr>
        <w:pStyle w:val="5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5B57E545">
      <w:pPr>
        <w:pStyle w:val="5"/>
        <w:spacing w:after="0" w:line="460" w:lineRule="exact"/>
        <w:rPr>
          <w:sz w:val="24"/>
        </w:rPr>
      </w:pPr>
    </w:p>
    <w:p w14:paraId="7C0A44B4">
      <w:pPr>
        <w:pStyle w:val="5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2774D1A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产品介绍、履约服务方案</w:t>
      </w:r>
    </w:p>
    <w:p w14:paraId="2CF39B06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p w14:paraId="1FE4F365">
      <w:pPr>
        <w:rPr>
          <w:rFonts w:hint="eastAsia"/>
          <w:lang w:val="en-US" w:eastAsia="zh-CN"/>
        </w:rPr>
      </w:pPr>
    </w:p>
    <w:p w14:paraId="14BD7225">
      <w:pPr>
        <w:pStyle w:val="16"/>
        <w:rPr>
          <w:rFonts w:hint="eastAsia"/>
          <w:lang w:val="en-US" w:eastAsia="zh-CN"/>
        </w:rPr>
      </w:pPr>
    </w:p>
    <w:p w14:paraId="0732A2D7">
      <w:pPr>
        <w:rPr>
          <w:rFonts w:hint="eastAsia"/>
          <w:lang w:val="en-US" w:eastAsia="zh-CN"/>
        </w:rPr>
      </w:pPr>
    </w:p>
    <w:p w14:paraId="387581E0">
      <w:pPr>
        <w:pStyle w:val="16"/>
        <w:rPr>
          <w:rFonts w:hint="eastAsia"/>
          <w:lang w:val="en-US" w:eastAsia="zh-CN"/>
        </w:rPr>
      </w:pPr>
    </w:p>
    <w:p w14:paraId="4490A5C5">
      <w:pPr>
        <w:rPr>
          <w:rFonts w:hint="eastAsia"/>
          <w:lang w:val="en-US" w:eastAsia="zh-CN"/>
        </w:rPr>
      </w:pPr>
    </w:p>
    <w:p w14:paraId="7202D484">
      <w:pPr>
        <w:pStyle w:val="16"/>
        <w:rPr>
          <w:rFonts w:hint="eastAsia"/>
          <w:lang w:val="en-US" w:eastAsia="zh-CN"/>
        </w:rPr>
      </w:pPr>
    </w:p>
    <w:p w14:paraId="46F91C01">
      <w:pPr>
        <w:rPr>
          <w:rFonts w:hint="eastAsia"/>
          <w:lang w:val="en-US" w:eastAsia="zh-CN"/>
        </w:rPr>
      </w:pPr>
    </w:p>
    <w:p w14:paraId="3FB64BA8">
      <w:pPr>
        <w:pStyle w:val="16"/>
        <w:rPr>
          <w:rFonts w:hint="eastAsia"/>
          <w:lang w:val="en-US" w:eastAsia="zh-CN"/>
        </w:rPr>
      </w:pPr>
    </w:p>
    <w:p w14:paraId="3AF5A4F7">
      <w:pPr>
        <w:rPr>
          <w:rFonts w:hint="eastAsia"/>
          <w:lang w:val="en-US" w:eastAsia="zh-CN"/>
        </w:rPr>
      </w:pPr>
    </w:p>
    <w:p w14:paraId="791A5F2D">
      <w:pPr>
        <w:pStyle w:val="16"/>
        <w:rPr>
          <w:rFonts w:hint="eastAsia"/>
          <w:lang w:val="en-US" w:eastAsia="zh-CN"/>
        </w:rPr>
      </w:pPr>
    </w:p>
    <w:p w14:paraId="52DF25CC">
      <w:pPr>
        <w:rPr>
          <w:rFonts w:hint="eastAsia"/>
          <w:lang w:val="en-US" w:eastAsia="zh-CN"/>
        </w:rPr>
      </w:pPr>
    </w:p>
    <w:p w14:paraId="3A565FD5">
      <w:pPr>
        <w:pStyle w:val="16"/>
        <w:rPr>
          <w:rFonts w:hint="eastAsia"/>
          <w:lang w:val="en-US" w:eastAsia="zh-CN"/>
        </w:rPr>
      </w:pPr>
    </w:p>
    <w:p w14:paraId="2F329507">
      <w:pPr>
        <w:rPr>
          <w:rFonts w:hint="eastAsia"/>
          <w:lang w:val="en-US" w:eastAsia="zh-CN"/>
        </w:rPr>
      </w:pPr>
    </w:p>
    <w:p w14:paraId="2A9C02A7">
      <w:pPr>
        <w:pStyle w:val="16"/>
        <w:rPr>
          <w:rFonts w:hint="eastAsia"/>
          <w:lang w:val="en-US" w:eastAsia="zh-CN"/>
        </w:rPr>
      </w:pPr>
    </w:p>
    <w:p w14:paraId="03E1D709">
      <w:pPr>
        <w:rPr>
          <w:rFonts w:hint="eastAsia"/>
          <w:lang w:val="en-US" w:eastAsia="zh-CN"/>
        </w:rPr>
      </w:pPr>
    </w:p>
    <w:p w14:paraId="3EE1896B">
      <w:pPr>
        <w:pStyle w:val="16"/>
        <w:rPr>
          <w:rFonts w:hint="eastAsia"/>
          <w:lang w:val="en-US" w:eastAsia="zh-CN"/>
        </w:rPr>
      </w:pPr>
    </w:p>
    <w:p w14:paraId="29EB6190">
      <w:pPr>
        <w:rPr>
          <w:rFonts w:hint="eastAsia"/>
          <w:lang w:val="en-US" w:eastAsia="zh-CN"/>
        </w:rPr>
      </w:pPr>
    </w:p>
    <w:p w14:paraId="1F97E002">
      <w:pPr>
        <w:pStyle w:val="16"/>
        <w:rPr>
          <w:rFonts w:hint="eastAsia"/>
          <w:lang w:val="en-US" w:eastAsia="zh-CN"/>
        </w:rPr>
      </w:pPr>
    </w:p>
    <w:p w14:paraId="549928B8">
      <w:pPr>
        <w:rPr>
          <w:rFonts w:hint="eastAsia"/>
          <w:lang w:val="en-US" w:eastAsia="zh-CN"/>
        </w:rPr>
      </w:pPr>
    </w:p>
    <w:p w14:paraId="6BE86406">
      <w:pPr>
        <w:pStyle w:val="16"/>
        <w:rPr>
          <w:rFonts w:hint="eastAsia"/>
          <w:lang w:val="en-US" w:eastAsia="zh-CN"/>
        </w:rPr>
      </w:pPr>
    </w:p>
    <w:p w14:paraId="3F4BCBB0">
      <w:pPr>
        <w:rPr>
          <w:rFonts w:hint="eastAsia"/>
          <w:lang w:val="en-US" w:eastAsia="zh-CN"/>
        </w:rPr>
      </w:pPr>
    </w:p>
    <w:p w14:paraId="27AB8110">
      <w:pPr>
        <w:jc w:val="center"/>
        <w:rPr>
          <w:rFonts w:hint="eastAsia" w:ascii="Times New Roman" w:hAnsi="Times New Roman" w:eastAsia="宋体"/>
          <w:sz w:val="24"/>
          <w:szCs w:val="21"/>
          <w:lang w:eastAsia="zh-CN"/>
        </w:rPr>
      </w:pPr>
      <w:r>
        <w:rPr>
          <w:rFonts w:hint="eastAsia" w:ascii="Times New Roman" w:hAnsi="Times New Roman" w:eastAsia="宋体"/>
          <w:sz w:val="24"/>
          <w:szCs w:val="21"/>
          <w:lang w:eastAsia="zh-CN"/>
        </w:rPr>
        <w:t>调研报价表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4995"/>
      </w:tblGrid>
      <w:tr w14:paraId="2D76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442C928F"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4995" w:type="dxa"/>
            <w:noWrap w:val="0"/>
            <w:vAlign w:val="top"/>
          </w:tcPr>
          <w:p w14:paraId="3B098B0E">
            <w:pPr>
              <w:rPr>
                <w:rFonts w:hint="eastAsia" w:eastAsia="宋体"/>
                <w:color w:val="auto"/>
                <w:vertAlign w:val="baseline"/>
                <w:lang w:eastAsia="zh-CN"/>
              </w:rPr>
            </w:pPr>
          </w:p>
        </w:tc>
      </w:tr>
      <w:tr w14:paraId="055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763" w:type="dxa"/>
            <w:noWrap w:val="0"/>
            <w:vAlign w:val="center"/>
          </w:tcPr>
          <w:p w14:paraId="053C247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报价（含税）</w:t>
            </w:r>
          </w:p>
        </w:tc>
        <w:tc>
          <w:tcPr>
            <w:tcW w:w="4995" w:type="dxa"/>
            <w:noWrap w:val="0"/>
            <w:vAlign w:val="center"/>
          </w:tcPr>
          <w:p w14:paraId="7293C7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/套</w:t>
            </w:r>
          </w:p>
        </w:tc>
      </w:tr>
    </w:tbl>
    <w:p w14:paraId="69697C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DFAD3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A4ECF38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注：所报价格包括但不限于管理费、服务费、意外伤害保险、税金等各种与本项目有关的全部费用。</w:t>
      </w:r>
    </w:p>
    <w:p w14:paraId="62A4740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1B5F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法人或代表人签字 ：      </w:t>
      </w:r>
    </w:p>
    <w:p w14:paraId="11552CF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C4345E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供应商名称（盖章）：</w:t>
      </w:r>
    </w:p>
    <w:p w14:paraId="728720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80CAB0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时间：</w:t>
      </w:r>
    </w:p>
    <w:p w14:paraId="7DCDEB30">
      <w:pPr>
        <w:pStyle w:val="5"/>
        <w:spacing w:after="0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相关业绩</w:t>
      </w:r>
    </w:p>
    <w:p w14:paraId="4F77D6A6">
      <w:pPr>
        <w:pStyle w:val="16"/>
        <w:rPr>
          <w:rFonts w:hint="eastAsia"/>
          <w:lang w:val="en-US" w:eastAsia="zh-CN"/>
        </w:rPr>
      </w:pPr>
    </w:p>
    <w:p w14:paraId="46C3E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9971EE-C564-44B9-9A42-9D293A8361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DF285A-C4A7-4FD3-B5FD-2CF68ABF654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10E181-FC94-40E2-B8AF-8A371BB9DB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954A22-73B9-4276-8847-2EAF25E454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0F2E9E-10E0-4E89-AD01-FC4BD50287E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2B32B"/>
    <w:multiLevelType w:val="singleLevel"/>
    <w:tmpl w:val="EEF2B32B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50172D11"/>
    <w:multiLevelType w:val="singleLevel"/>
    <w:tmpl w:val="50172D11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7F82"/>
    <w:rsid w:val="1FA80990"/>
    <w:rsid w:val="229C2444"/>
    <w:rsid w:val="3DA300EE"/>
    <w:rsid w:val="53482EC9"/>
    <w:rsid w:val="57241C80"/>
    <w:rsid w:val="5F8133F6"/>
    <w:rsid w:val="61627B2D"/>
    <w:rsid w:val="65F31E15"/>
    <w:rsid w:val="69141D26"/>
    <w:rsid w:val="718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cs="Times New Roman"/>
    </w:rPr>
  </w:style>
  <w:style w:type="paragraph" w:styleId="6">
    <w:name w:val="Body Text First Indent"/>
    <w:basedOn w:val="5"/>
    <w:next w:val="7"/>
    <w:unhideWhenUsed/>
    <w:qFormat/>
    <w:uiPriority w:val="99"/>
    <w:pPr>
      <w:ind w:firstLine="420" w:firstLineChars="100"/>
    </w:pPr>
  </w:style>
  <w:style w:type="paragraph" w:customStyle="1" w:styleId="7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16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2162</Words>
  <Characters>2193</Characters>
  <Lines>0</Lines>
  <Paragraphs>0</Paragraphs>
  <TotalTime>3</TotalTime>
  <ScaleCrop>false</ScaleCrop>
  <LinksUpToDate>false</LinksUpToDate>
  <CharactersWithSpaces>2205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2026-06-01T23:48:00Z</dcterms:created>
  <dc:creator>Lenovo</dc:creator>
  <cp:lastModifiedBy>王恒</cp:lastModifiedBy>
  <dcterms:modified xsi:type="dcterms:W3CDTF">2026-06-09T02:35:17Z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eyJoZGlkIjoiMWU5NjNjMGEzYjgxN2ZkODZiMmM5ZDg3YzJlMDczMmIiLCJ1c2VySWQiOiIxNzUwNTYzNDQyIn0=</vt:lpwstr>
  </property>
  <property fmtid="{D5CDD505-2E9C-101B-9397-08002B2CF9AE}" pid="4" name="ICV">
    <vt:lpwstr>B4ADED2D830F42C5894381C70E840AD7_13</vt:lpwstr>
  </property>
</Properties>
</file>