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b/>
          <w:sz w:val="52"/>
          <w:szCs w:val="48"/>
          <w:lang w:eastAsia="zh-CN"/>
        </w:rPr>
      </w:pPr>
      <w:r>
        <w:rPr>
          <w:rFonts w:hint="eastAsia" w:cs="Times New Roman"/>
          <w:b/>
          <w:bCs w:val="0"/>
          <w:kern w:val="2"/>
          <w:sz w:val="48"/>
          <w:szCs w:val="48"/>
          <w:lang w:val="en-US" w:eastAsia="zh-CN" w:bidi="ar-SA"/>
        </w:rPr>
        <w:t>眼科配镜服务</w:t>
      </w:r>
      <w:r>
        <w:rPr>
          <w:rFonts w:hint="eastAsia" w:ascii="宋体" w:hAnsi="宋体" w:cs="Times New Roman"/>
          <w:b/>
          <w:sz w:val="48"/>
          <w:szCs w:val="48"/>
          <w:lang w:val="en-US" w:eastAsia="zh-CN"/>
        </w:rPr>
        <w:t>项目</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2A060741">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7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38EC7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资阳市雁江区妇幼保健计划生育服务中心眼科配镜服务项目</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29615C9E">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1具备第二类医疗器械经营备案凭证或医疗器械经营许可证，可合法经营光学镜片、功能性镜片等医疗器械产品。</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7.3</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八</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w:t>
      </w:r>
      <w:r>
        <w:rPr>
          <w:rFonts w:hint="eastAsia" w:ascii="宋体" w:hAnsi="宋体" w:cs="宋体"/>
          <w:b w:val="0"/>
          <w:bCs w:val="0"/>
          <w:i w:val="0"/>
          <w:iCs w:val="0"/>
          <w:caps w:val="0"/>
          <w:color w:val="auto"/>
          <w:spacing w:val="0"/>
          <w:kern w:val="0"/>
          <w:sz w:val="28"/>
          <w:szCs w:val="28"/>
          <w:shd w:val="clear" w:fill="FFFFFF"/>
          <w:lang w:val="en-US" w:eastAsia="zh-CN" w:bidi="ar"/>
        </w:rPr>
        <w:t>街</w:t>
      </w:r>
      <w:r>
        <w:rPr>
          <w:rFonts w:hint="eastAsia" w:ascii="宋体" w:hAnsi="宋体" w:eastAsia="宋体" w:cs="宋体"/>
          <w:b w:val="0"/>
          <w:bCs w:val="0"/>
          <w:i w:val="0"/>
          <w:iCs w:val="0"/>
          <w:caps w:val="0"/>
          <w:color w:val="auto"/>
          <w:spacing w:val="0"/>
          <w:kern w:val="0"/>
          <w:sz w:val="28"/>
          <w:szCs w:val="28"/>
          <w:shd w:val="clear" w:fill="FFFFFF"/>
          <w:lang w:val="en-US" w:eastAsia="zh-CN" w:bidi="ar"/>
        </w:rPr>
        <w:t>512号雁江区妇幼保健院</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6"/>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eastAsia="宋体" w:cs="Times New Roman"/>
                <w:sz w:val="24"/>
                <w:lang w:val="en-US" w:eastAsia="zh-CN"/>
              </w:rPr>
              <w:t>眼科配镜服务</w:t>
            </w:r>
            <w:r>
              <w:rPr>
                <w:rFonts w:hint="eastAsia" w:ascii="宋体" w:hAnsi="宋体" w:eastAsia="宋体" w:cs="Times New Roman"/>
                <w:sz w:val="24"/>
                <w:lang w:eastAsia="zh-CN"/>
              </w:rPr>
              <w:t>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sz w:val="24"/>
                <w:lang w:val="en-US" w:eastAsia="zh-CN"/>
              </w:rPr>
              <w:t>管理费最低限价：5000元/月</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8" w:type="dxa"/>
            <w:tcBorders>
              <w:left w:val="single" w:color="auto" w:sz="8" w:space="0"/>
            </w:tcBorders>
            <w:noWrap w:val="0"/>
            <w:vAlign w:val="center"/>
          </w:tcPr>
          <w:p w14:paraId="6A9414A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widowControl/>
              <w:spacing w:line="4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项目内容</w:t>
            </w:r>
          </w:p>
        </w:tc>
        <w:tc>
          <w:tcPr>
            <w:tcW w:w="6432" w:type="dxa"/>
            <w:tcBorders>
              <w:left w:val="single" w:color="auto" w:sz="4" w:space="0"/>
              <w:right w:val="single" w:color="auto" w:sz="8" w:space="0"/>
            </w:tcBorders>
            <w:noWrap w:val="0"/>
            <w:vAlign w:val="center"/>
          </w:tcPr>
          <w:p w14:paraId="0253671B">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提供眼科配镜服务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2年</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386DCBBF">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7.1具备第二类医疗器械经营备案凭证或医疗器械经营许可证，可合法经营光学镜片、功能性镜片等医疗器械产品</w:t>
            </w:r>
            <w:r>
              <w:rPr>
                <w:rFonts w:hint="eastAsia" w:cs="宋体"/>
                <w:color w:val="000000"/>
                <w:kern w:val="0"/>
                <w:sz w:val="24"/>
                <w:szCs w:val="24"/>
                <w:lang w:val="en-US" w:eastAsia="zh-CN" w:bidi="ar"/>
              </w:rPr>
              <w:t>（提供证明材料）</w:t>
            </w:r>
          </w:p>
          <w:p w14:paraId="541EB7E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w:t>
            </w: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28" w:type="dxa"/>
            <w:tcBorders>
              <w:left w:val="single" w:color="auto" w:sz="8" w:space="0"/>
            </w:tcBorders>
            <w:noWrap w:val="0"/>
            <w:vAlign w:val="center"/>
          </w:tcPr>
          <w:p w14:paraId="1B9C368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highlight w:val="yellow"/>
                <w:lang w:val="en-US" w:eastAsia="zh-CN"/>
              </w:rPr>
            </w:pPr>
          </w:p>
          <w:p w14:paraId="30621C45">
            <w:pPr>
              <w:spacing w:line="460" w:lineRule="exact"/>
              <w:jc w:val="center"/>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技术服务要求</w:t>
            </w:r>
          </w:p>
          <w:p w14:paraId="7C3516B5">
            <w:pPr>
              <w:spacing w:line="460" w:lineRule="exact"/>
              <w:jc w:val="center"/>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（实质性要求）</w:t>
            </w:r>
          </w:p>
        </w:tc>
        <w:tc>
          <w:tcPr>
            <w:tcW w:w="6432" w:type="dxa"/>
            <w:tcBorders>
              <w:left w:val="single" w:color="auto" w:sz="4" w:space="0"/>
              <w:right w:val="single" w:color="auto" w:sz="8" w:space="0"/>
            </w:tcBorders>
            <w:noWrap w:val="0"/>
            <w:vAlign w:val="center"/>
          </w:tcPr>
          <w:p w14:paraId="116E3D0A">
            <w:pPr>
              <w:pStyle w:val="14"/>
              <w:numPr>
                <w:numId w:val="0"/>
              </w:numP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一、医院可提供100平方左右配镜服务区域，场地设在</w:t>
            </w:r>
            <w:r>
              <w:rPr>
                <w:rFonts w:hint="eastAsia" w:ascii="宋体" w:hAnsi="宋体" w:cs="宋体"/>
                <w:color w:val="auto"/>
                <w:kern w:val="2"/>
                <w:sz w:val="24"/>
                <w:szCs w:val="24"/>
                <w:highlight w:val="none"/>
                <w:lang w:val="en-US" w:eastAsia="zh-CN" w:bidi="ar-SA"/>
              </w:rPr>
              <w:t>门诊</w:t>
            </w:r>
            <w:r>
              <w:rPr>
                <w:rFonts w:hint="eastAsia" w:ascii="宋体" w:hAnsi="宋体" w:eastAsia="宋体" w:cs="宋体"/>
                <w:color w:val="auto"/>
                <w:kern w:val="2"/>
                <w:sz w:val="24"/>
                <w:szCs w:val="24"/>
                <w:highlight w:val="none"/>
                <w:lang w:val="en-US" w:eastAsia="zh-CN" w:bidi="ar-SA"/>
              </w:rPr>
              <w:t>二楼儿保科指定位置。</w:t>
            </w:r>
          </w:p>
          <w:p w14:paraId="577D6053">
            <w:pPr>
              <w:keepNext w:val="0"/>
              <w:keepLines w:val="0"/>
              <w:pageBreakBefore w:val="0"/>
              <w:widowControl w:val="0"/>
              <w:numPr>
                <w:numId w:val="0"/>
              </w:numPr>
              <w:kinsoku/>
              <w:wordWrap/>
              <w:overflowPunct/>
              <w:topLinePunct w:val="0"/>
              <w:autoSpaceDE/>
              <w:autoSpaceDN/>
              <w:bidi w:val="0"/>
              <w:adjustRightInd/>
              <w:snapToGrid/>
              <w:spacing w:beforeAutospacing="0" w:line="44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二、供应商自主承担开展配镜业务所需的产品供应、场地装修、设备配置、人员配置、技术支持及日常运营管理等全部工作，自负盈亏，独立承担商业运营与合规经营责任。</w:t>
            </w:r>
          </w:p>
          <w:p w14:paraId="7682AF25">
            <w:pPr>
              <w:keepNext w:val="0"/>
              <w:keepLines w:val="0"/>
              <w:pageBreakBefore w:val="0"/>
              <w:widowControl w:val="0"/>
              <w:numPr>
                <w:numId w:val="0"/>
              </w:numPr>
              <w:kinsoku/>
              <w:wordWrap/>
              <w:overflowPunct/>
              <w:topLinePunct w:val="0"/>
              <w:autoSpaceDE/>
              <w:autoSpaceDN/>
              <w:bidi w:val="0"/>
              <w:adjustRightInd/>
              <w:snapToGrid/>
              <w:spacing w:beforeAutospacing="0" w:line="440" w:lineRule="exact"/>
              <w:ind w:leftChars="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三、服务要求</w:t>
            </w:r>
          </w:p>
          <w:p w14:paraId="2903AF0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1、所有从业人员均持证上岗，具备医疗机构配镜驻点服务经验。项目全套专业设备配置齐全，</w:t>
            </w:r>
            <w:r>
              <w:rPr>
                <w:rFonts w:hint="eastAsia" w:ascii="宋体" w:hAnsi="宋体" w:cs="宋体"/>
                <w:color w:val="000000"/>
                <w:kern w:val="0"/>
                <w:sz w:val="24"/>
                <w:szCs w:val="24"/>
                <w:highlight w:val="none"/>
                <w:lang w:val="en-US" w:eastAsia="zh-CN" w:bidi="ar"/>
              </w:rPr>
              <w:t>设备合规、合格，具备相关认证资质，定期校准、维护、年检，保障服务质量与安全。（单独提供承诺函）</w:t>
            </w:r>
          </w:p>
          <w:p w14:paraId="4218A638">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2、具备正规进货渠道、品牌授权、产品溯源体系，无假冒伪劣产品经营记录。（提供承诺函及合作品牌清单）</w:t>
            </w:r>
          </w:p>
          <w:p w14:paraId="4B7F5CE1">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000000"/>
                <w:kern w:val="0"/>
                <w:sz w:val="24"/>
                <w:szCs w:val="24"/>
                <w:highlight w:val="none"/>
                <w:lang w:val="en-US" w:eastAsia="zh-CN" w:bidi="ar"/>
              </w:rPr>
              <w:t>3、乙方除缴纳管理费外，每月固定向甲方缴纳水电费100</w:t>
            </w:r>
            <w:r>
              <w:rPr>
                <w:rFonts w:hint="eastAsia" w:ascii="宋体" w:hAnsi="宋体" w:cs="宋体"/>
                <w:color w:val="auto"/>
                <w:kern w:val="2"/>
                <w:sz w:val="24"/>
                <w:szCs w:val="24"/>
                <w:highlight w:val="none"/>
                <w:lang w:val="en-US" w:eastAsia="zh-CN" w:bidi="ar-SA"/>
              </w:rPr>
              <w:t>0元。</w:t>
            </w:r>
          </w:p>
          <w:p w14:paraId="3DCD3764">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4、防护安全：服务区域设置儿童安全防护设施，摆放安全警示标识，产品符合儿童安全标准，无尖锐边角、无有害材质，保障患者就诊安全。</w:t>
            </w:r>
          </w:p>
          <w:p w14:paraId="6C7E511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环境卫生与场地管理：服务区域每日清洁消杀，保持干净整洁、通风良好，物品摆放规整，符合医院院感防控标准，杜绝卫生死角；自行配备消防器材、应急设施，定期排查消防安全隐患，严格遵守医院消防安全管理制度。</w:t>
            </w:r>
          </w:p>
          <w:p w14:paraId="686486E3">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6、严格按照国家《眼镜制配计量监督管理办法》《儿童青少年近视防控适宜技术指南》及医院规章制度开展服务，适配婴幼儿、儿童、孕产妇特殊视力需求，提供专业、安全的配镜服务。</w:t>
            </w:r>
          </w:p>
          <w:p w14:paraId="7A1CF87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7、供应商利用甲方提供的场地开展相关技术服务及经营活动，应</w:t>
            </w:r>
            <w:r>
              <w:rPr>
                <w:rFonts w:hint="eastAsia" w:ascii="宋体" w:hAnsi="宋体" w:eastAsia="宋体" w:cs="宋体"/>
                <w:color w:val="000000"/>
                <w:kern w:val="0"/>
                <w:sz w:val="24"/>
                <w:szCs w:val="24"/>
                <w:highlight w:val="none"/>
                <w:lang w:val="en-US" w:eastAsia="zh-CN" w:bidi="ar"/>
              </w:rPr>
              <w:t>严格遵守国家相关法律法规、医疗行业规范以及医院内部管理制度，确保</w:t>
            </w:r>
            <w:r>
              <w:rPr>
                <w:rFonts w:hint="eastAsia" w:ascii="宋体" w:hAnsi="宋体" w:cs="宋体"/>
                <w:color w:val="000000"/>
                <w:kern w:val="0"/>
                <w:sz w:val="24"/>
                <w:szCs w:val="24"/>
                <w:highlight w:val="none"/>
                <w:lang w:val="en-US" w:eastAsia="zh-CN" w:bidi="ar"/>
              </w:rPr>
              <w:t>本项目</w:t>
            </w:r>
            <w:r>
              <w:rPr>
                <w:rFonts w:hint="eastAsia" w:ascii="宋体" w:hAnsi="宋体" w:eastAsia="宋体" w:cs="宋体"/>
                <w:color w:val="000000"/>
                <w:kern w:val="0"/>
                <w:sz w:val="24"/>
                <w:szCs w:val="24"/>
                <w:highlight w:val="none"/>
                <w:lang w:val="en-US" w:eastAsia="zh-CN" w:bidi="ar"/>
              </w:rPr>
              <w:t>合法合规开展</w:t>
            </w:r>
            <w:r>
              <w:rPr>
                <w:rFonts w:hint="eastAsia" w:ascii="宋体" w:hAnsi="宋体" w:cs="宋体"/>
                <w:color w:val="000000"/>
                <w:kern w:val="0"/>
                <w:sz w:val="24"/>
                <w:szCs w:val="24"/>
                <w:highlight w:val="none"/>
                <w:lang w:val="en-US" w:eastAsia="zh-CN" w:bidi="ar"/>
              </w:rPr>
              <w:t>，不得影响医院正常诊疗秩序、就医环境及医患权益。</w:t>
            </w:r>
          </w:p>
          <w:p w14:paraId="106C4FE2">
            <w:pPr>
              <w:spacing w:line="360" w:lineRule="auto"/>
              <w:ind w:left="0" w:leftChars="0"/>
              <w:jc w:val="both"/>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8、提供2023年1月1日以来与本项目类似业绩，至少2份合同或其他证明材料</w:t>
            </w:r>
            <w:r>
              <w:rPr>
                <w:rFonts w:hint="eastAsia" w:ascii="宋体" w:hAnsi="宋体" w:eastAsia="宋体" w:cs="宋体"/>
                <w:color w:val="000000"/>
                <w:kern w:val="0"/>
                <w:sz w:val="24"/>
                <w:szCs w:val="24"/>
                <w:highlight w:val="none"/>
                <w:lang w:val="en-US" w:eastAsia="zh-CN" w:bidi="ar"/>
              </w:rPr>
              <w:t>。</w:t>
            </w:r>
          </w:p>
          <w:p w14:paraId="32B60EA7">
            <w:pPr>
              <w:spacing w:line="360" w:lineRule="auto"/>
              <w:ind w:left="0" w:leftChars="0"/>
              <w:jc w:val="both"/>
              <w:rPr>
                <w:rFonts w:hint="default" w:ascii="宋体" w:hAnsi="宋体" w:eastAsia="宋体" w:cs="宋体"/>
                <w:color w:val="000000"/>
                <w:kern w:val="0"/>
                <w:sz w:val="24"/>
                <w:szCs w:val="24"/>
                <w:highlight w:val="yellow"/>
                <w:lang w:val="en-US" w:eastAsia="zh-CN" w:bidi="ar"/>
              </w:rPr>
            </w:pPr>
            <w:r>
              <w:rPr>
                <w:rFonts w:hint="eastAsia" w:ascii="宋体" w:hAnsi="宋体" w:cs="宋体"/>
                <w:color w:val="000000"/>
                <w:kern w:val="0"/>
                <w:sz w:val="24"/>
                <w:szCs w:val="24"/>
                <w:highlight w:val="none"/>
                <w:lang w:val="en-US" w:eastAsia="zh-CN" w:bidi="ar"/>
              </w:rPr>
              <w:t>9、不得开展与医院业务相关的项目。</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宋体"/>
                <w:kern w:val="2"/>
                <w:sz w:val="24"/>
                <w:szCs w:val="24"/>
                <w:u w:val="single"/>
                <w:lang w:val="en-US" w:eastAsia="zh-CN" w:bidi="ar-SA"/>
              </w:rPr>
              <w:t>以文件最低限价为基础进行上浮报价</w:t>
            </w:r>
            <w:r>
              <w:rPr>
                <w:rFonts w:hint="eastAsia" w:ascii="宋体" w:hAnsi="宋体" w:eastAsia="宋体" w:cs="宋体"/>
                <w:kern w:val="2"/>
                <w:sz w:val="24"/>
                <w:szCs w:val="24"/>
                <w:lang w:val="en-US" w:eastAsia="zh-CN" w:bidi="ar-SA"/>
              </w:rPr>
              <w:t>。</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r>
              <w:rPr>
                <w:rFonts w:hint="eastAsia" w:ascii="宋体" w:hAnsi="宋体" w:cs="宋体"/>
                <w:kern w:val="0"/>
                <w:sz w:val="24"/>
                <w:u w:val="none"/>
                <w:lang w:val="en-US" w:eastAsia="zh-CN"/>
              </w:rPr>
              <w:t>（至少提供2份合同或其他证明材料）</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14</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343F7A3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s="Times New Roman"/>
                <w:color w:val="000000"/>
                <w:kern w:val="2"/>
                <w:sz w:val="24"/>
                <w:szCs w:val="24"/>
                <w:highlight w:val="yellow"/>
                <w:lang w:val="en-US" w:eastAsia="zh-CN" w:bidi="ar-SA"/>
              </w:rPr>
              <w:t>本项目采用的评审方法：通过资格审查的供应商，响应文件满足采购文件全部实质性要求前提下，按照</w:t>
            </w:r>
            <w:r>
              <w:rPr>
                <w:rFonts w:hint="eastAsia" w:cs="Times New Roman"/>
                <w:color w:val="000000"/>
                <w:kern w:val="2"/>
                <w:sz w:val="24"/>
                <w:szCs w:val="24"/>
                <w:highlight w:val="yellow"/>
                <w:lang w:val="en-US" w:eastAsia="zh-CN" w:bidi="ar-SA"/>
              </w:rPr>
              <w:t>管理费</w:t>
            </w:r>
            <w:r>
              <w:rPr>
                <w:rFonts w:hint="eastAsia" w:ascii="宋体" w:hAnsi="宋体" w:eastAsia="宋体" w:cs="Times New Roman"/>
                <w:color w:val="000000"/>
                <w:kern w:val="2"/>
                <w:sz w:val="24"/>
                <w:szCs w:val="24"/>
                <w:highlight w:val="yellow"/>
                <w:lang w:val="en-US" w:eastAsia="zh-CN" w:bidi="ar-SA"/>
              </w:rPr>
              <w:t>报价从高到低排序，报价最高为中选单位。如遇最高报价相同，则再次进行报价。</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5"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7"/>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hAnsi="宋体" w:cs="Times New Roman"/>
                <w:color w:val="000000"/>
                <w:kern w:val="2"/>
                <w:sz w:val="24"/>
                <w:szCs w:val="24"/>
                <w:lang w:val="en-US" w:eastAsia="zh-CN" w:bidi="ar-SA"/>
              </w:rPr>
              <w:t>一、</w:t>
            </w:r>
            <w:r>
              <w:rPr>
                <w:rFonts w:hint="eastAsia" w:ascii="宋体" w:hAnsi="宋体" w:eastAsia="宋体" w:cs="Times New Roman"/>
                <w:color w:val="000000"/>
                <w:kern w:val="2"/>
                <w:sz w:val="24"/>
                <w:szCs w:val="24"/>
                <w:lang w:val="en-US" w:eastAsia="zh-CN" w:bidi="ar-SA"/>
              </w:rPr>
              <w:t>项目地址：</w:t>
            </w:r>
            <w:r>
              <w:rPr>
                <w:rFonts w:hint="eastAsia" w:hAnsi="宋体" w:cs="Times New Roman"/>
                <w:color w:val="000000"/>
                <w:kern w:val="2"/>
                <w:sz w:val="24"/>
                <w:szCs w:val="24"/>
                <w:lang w:val="en-US" w:eastAsia="zh-CN" w:bidi="ar-SA"/>
              </w:rPr>
              <w:t>门</w:t>
            </w:r>
            <w:r>
              <w:rPr>
                <w:rFonts w:hint="eastAsia" w:hAnsi="宋体" w:cs="Times New Roman"/>
                <w:color w:val="000000"/>
                <w:kern w:val="2"/>
                <w:sz w:val="24"/>
                <w:szCs w:val="24"/>
                <w:highlight w:val="none"/>
                <w:lang w:val="en-US" w:eastAsia="zh-CN" w:bidi="ar-SA"/>
              </w:rPr>
              <w:t>诊</w:t>
            </w:r>
            <w:r>
              <w:rPr>
                <w:rFonts w:hint="eastAsia" w:ascii="宋体" w:hAnsi="宋体" w:cs="Times New Roman"/>
                <w:kern w:val="2"/>
                <w:sz w:val="24"/>
                <w:szCs w:val="24"/>
                <w:highlight w:val="none"/>
                <w:lang w:val="en-US" w:eastAsia="zh-CN" w:bidi="ar-SA"/>
              </w:rPr>
              <w:t>二楼儿保科指定位置</w:t>
            </w:r>
          </w:p>
          <w:p w14:paraId="3AC8A3A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Times New Roman"/>
                <w:color w:val="auto"/>
                <w:sz w:val="24"/>
                <w:highlight w:val="none"/>
                <w:lang w:val="en-US" w:eastAsia="zh-CN"/>
              </w:rPr>
            </w:pPr>
            <w:r>
              <w:rPr>
                <w:rFonts w:hint="eastAsia" w:ascii="宋体" w:hAnsi="宋体" w:cs="Times New Roman"/>
                <w:color w:val="000000"/>
                <w:kern w:val="2"/>
                <w:sz w:val="24"/>
                <w:szCs w:val="24"/>
                <w:lang w:val="en-US" w:eastAsia="zh-CN" w:bidi="ar-SA"/>
              </w:rPr>
              <w:t>二、服务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2年</w:t>
            </w:r>
          </w:p>
          <w:p w14:paraId="528F3DF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val="0"/>
                <w:bCs w:val="0"/>
                <w:kern w:val="2"/>
                <w:sz w:val="28"/>
                <w:szCs w:val="28"/>
                <w:highlight w:val="none"/>
                <w:lang w:val="en-US" w:eastAsia="zh-CN"/>
              </w:rPr>
            </w:pPr>
            <w:r>
              <w:rPr>
                <w:rFonts w:hint="eastAsia" w:ascii="宋体" w:hAnsi="宋体" w:cs="Times New Roman"/>
                <w:color w:val="000000"/>
                <w:kern w:val="2"/>
                <w:sz w:val="24"/>
                <w:szCs w:val="24"/>
                <w:lang w:val="en-US" w:eastAsia="zh-CN" w:bidi="ar-SA"/>
              </w:rPr>
              <w:t>三、</w:t>
            </w:r>
            <w:r>
              <w:rPr>
                <w:rFonts w:hint="eastAsia" w:ascii="宋体" w:hAnsi="宋体" w:eastAsia="宋体" w:cs="Times New Roman"/>
                <w:color w:val="000000"/>
                <w:kern w:val="2"/>
                <w:sz w:val="24"/>
                <w:szCs w:val="24"/>
                <w:lang w:val="en-US" w:eastAsia="zh-CN" w:bidi="ar-SA"/>
              </w:rPr>
              <w:t>验收标准：</w:t>
            </w:r>
            <w:r>
              <w:rPr>
                <w:rFonts w:hint="eastAsia" w:ascii="宋体" w:hAnsi="宋体" w:cs="Times New Roman"/>
                <w:color w:val="000000"/>
                <w:kern w:val="2"/>
                <w:sz w:val="24"/>
                <w:szCs w:val="24"/>
                <w:lang w:val="en-US" w:eastAsia="zh-CN" w:bidi="ar-SA"/>
              </w:rPr>
              <w:t>提出验收要求</w:t>
            </w:r>
            <w:r>
              <w:rPr>
                <w:rFonts w:hint="eastAsia" w:ascii="宋体" w:hAnsi="宋体" w:eastAsia="宋体" w:cs="Times New Roman"/>
                <w:color w:val="000000"/>
                <w:kern w:val="2"/>
                <w:sz w:val="24"/>
                <w:szCs w:val="24"/>
                <w:lang w:val="en-US" w:eastAsia="zh-CN" w:bidi="ar-SA"/>
              </w:rPr>
              <w:t>7个工作日内，严格按照采购文件及响应文件内容</w:t>
            </w:r>
            <w:r>
              <w:rPr>
                <w:rFonts w:hint="eastAsia" w:ascii="宋体" w:hAnsi="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由医院组建验收团队进行验收，并签字确认。</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四、</w:t>
            </w:r>
            <w:r>
              <w:rPr>
                <w:rFonts w:hint="eastAsia" w:ascii="宋体" w:hAnsi="宋体" w:eastAsia="宋体" w:cs="Times New Roman"/>
                <w:color w:val="000000"/>
                <w:kern w:val="2"/>
                <w:sz w:val="24"/>
                <w:szCs w:val="24"/>
                <w:highlight w:val="none"/>
                <w:lang w:val="en-US" w:eastAsia="zh-CN" w:bidi="ar-SA"/>
              </w:rPr>
              <w:t>付款方式：</w:t>
            </w:r>
            <w:r>
              <w:rPr>
                <w:rFonts w:hint="eastAsia" w:ascii="宋体" w:hAnsi="宋体" w:cs="Times New Roman"/>
                <w:color w:val="000000"/>
                <w:kern w:val="2"/>
                <w:sz w:val="24"/>
                <w:szCs w:val="24"/>
                <w:highlight w:val="none"/>
                <w:lang w:val="en-US" w:eastAsia="zh-CN" w:bidi="ar-SA"/>
              </w:rPr>
              <w:t>每月10号之前，供应商应将</w:t>
            </w:r>
            <w:r>
              <w:rPr>
                <w:rFonts w:hint="eastAsia" w:ascii="宋体" w:hAnsi="宋体" w:cs="Times New Roman"/>
                <w:color w:val="000000"/>
                <w:kern w:val="2"/>
                <w:sz w:val="24"/>
                <w:szCs w:val="24"/>
                <w:highlight w:val="none"/>
                <w:lang w:val="en-US" w:eastAsia="zh-CN" w:bidi="ar-SA"/>
              </w:rPr>
              <w:t>水电费及管理费支付至医院指定账户；</w:t>
            </w:r>
          </w:p>
          <w:p w14:paraId="2928A8B1">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五、售后服务：</w:t>
            </w:r>
          </w:p>
          <w:p w14:paraId="10ECA88C">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1、中标服务商全程负责本项目全部设备、配套设施、验光配镜、视力防控相关服务的售后保障，承担所有维修、更换、维保、客户售后纠纷处理责任，甲方仅提供场地，不承担任何售后成本。</w:t>
            </w:r>
          </w:p>
          <w:p w14:paraId="4EEE297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2、乙方所有售后政策、质保期限、赔付标准需在经营区域醒目位置张贴公示，不得口头承诺、私下变更售后规则。</w:t>
            </w:r>
          </w:p>
          <w:p w14:paraId="7390B0A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default" w:ascii="宋体" w:hAnsi="宋体" w:cs="Times New Roman"/>
                <w:color w:val="000000"/>
                <w:kern w:val="2"/>
                <w:sz w:val="24"/>
                <w:szCs w:val="24"/>
                <w:highlight w:val="red"/>
                <w:lang w:val="en-US" w:eastAsia="zh-CN" w:bidi="ar-SA"/>
              </w:rPr>
            </w:pPr>
            <w:r>
              <w:rPr>
                <w:rFonts w:hint="eastAsia" w:ascii="宋体" w:hAnsi="宋体" w:cs="Times New Roman"/>
                <w:color w:val="000000"/>
                <w:kern w:val="2"/>
                <w:sz w:val="24"/>
                <w:szCs w:val="24"/>
                <w:highlight w:val="none"/>
                <w:lang w:val="en-US" w:eastAsia="zh-CN" w:bidi="ar-SA"/>
              </w:rPr>
              <w:t>3、</w:t>
            </w:r>
            <w:bookmarkStart w:id="1" w:name="_GoBack"/>
            <w:bookmarkEnd w:id="1"/>
            <w:r>
              <w:rPr>
                <w:rFonts w:hint="eastAsia" w:ascii="宋体" w:hAnsi="宋体" w:cs="Times New Roman"/>
                <w:color w:val="000000"/>
                <w:kern w:val="2"/>
                <w:sz w:val="24"/>
                <w:szCs w:val="24"/>
                <w:highlight w:val="none"/>
                <w:lang w:val="en-US" w:eastAsia="zh-CN" w:bidi="ar-SA"/>
              </w:rPr>
              <w:t>设立投诉处理机制：患者现场投诉当场协调解决；线上投诉24小时内给出处理方案，全部投诉台账按月提交甲方备查。</w:t>
            </w:r>
          </w:p>
        </w:tc>
      </w:tr>
    </w:tbl>
    <w:p w14:paraId="6E48F2F4"/>
    <w:p w14:paraId="4A4CDEE3"/>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2A4761C0">
      <w:pPr>
        <w:pStyle w:val="11"/>
        <w:rPr>
          <w:rFonts w:hint="eastAsia"/>
        </w:rPr>
      </w:pPr>
    </w:p>
    <w:p w14:paraId="1AB110C5">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272F0B0C">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10"/>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3"/>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3"/>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3"/>
        <w:spacing w:line="264" w:lineRule="auto"/>
        <w:ind w:firstLine="480" w:firstLineChars="200"/>
        <w:rPr>
          <w:rFonts w:hint="eastAsia" w:ascii="宋体" w:hAnsi="宋体" w:eastAsia="宋体" w:cs="宋体"/>
          <w:sz w:val="24"/>
        </w:rPr>
      </w:pPr>
    </w:p>
    <w:p w14:paraId="3A5C0F7A">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3"/>
      </w:pPr>
    </w:p>
    <w:p w14:paraId="4BE17565"/>
    <w:p w14:paraId="465C494F">
      <w:pPr>
        <w:pStyle w:val="10"/>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10"/>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3"/>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3"/>
        <w:rPr>
          <w:rFonts w:hint="eastAsia"/>
        </w:rPr>
      </w:pPr>
    </w:p>
    <w:p w14:paraId="6161CE93">
      <w:pPr>
        <w:rPr>
          <w:rFonts w:hint="eastAsia"/>
        </w:rPr>
      </w:pPr>
    </w:p>
    <w:p w14:paraId="2541EA76">
      <w:pPr>
        <w:pStyle w:val="13"/>
        <w:rPr>
          <w:rFonts w:hint="eastAsia"/>
        </w:rPr>
      </w:pPr>
    </w:p>
    <w:p w14:paraId="4856EEA3">
      <w:pPr>
        <w:rPr>
          <w:rFonts w:hint="eastAsia"/>
        </w:rPr>
      </w:pPr>
    </w:p>
    <w:p w14:paraId="53A34EAD">
      <w:pPr>
        <w:pStyle w:val="13"/>
        <w:rPr>
          <w:rFonts w:hint="eastAsia"/>
        </w:rPr>
      </w:pPr>
    </w:p>
    <w:p w14:paraId="5342A580">
      <w:pPr>
        <w:rPr>
          <w:rFonts w:hint="eastAsia"/>
        </w:rPr>
      </w:pPr>
    </w:p>
    <w:p w14:paraId="3F1487D3">
      <w:pPr>
        <w:pStyle w:val="13"/>
        <w:rPr>
          <w:rFonts w:hint="eastAsia"/>
        </w:rPr>
      </w:pPr>
    </w:p>
    <w:p w14:paraId="416919C0">
      <w:pPr>
        <w:rPr>
          <w:rFonts w:hint="eastAsia"/>
        </w:rPr>
      </w:pPr>
    </w:p>
    <w:p w14:paraId="7898F75D">
      <w:pPr>
        <w:pStyle w:val="13"/>
        <w:rPr>
          <w:rFonts w:hint="eastAsia"/>
        </w:rPr>
      </w:pPr>
    </w:p>
    <w:p w14:paraId="639CA3FE">
      <w:pPr>
        <w:rPr>
          <w:rFonts w:hint="eastAsia"/>
        </w:rPr>
      </w:pPr>
    </w:p>
    <w:p w14:paraId="2EDFF0E9">
      <w:pPr>
        <w:pStyle w:val="13"/>
        <w:rPr>
          <w:rFonts w:hint="eastAsia"/>
        </w:rPr>
      </w:pPr>
    </w:p>
    <w:p w14:paraId="4A3948D8">
      <w:pPr>
        <w:rPr>
          <w:rFonts w:hint="eastAsia"/>
        </w:rPr>
      </w:pPr>
    </w:p>
    <w:p w14:paraId="400231B0">
      <w:pPr>
        <w:pStyle w:val="13"/>
        <w:rPr>
          <w:rFonts w:hint="eastAsia"/>
        </w:rPr>
      </w:pPr>
    </w:p>
    <w:p w14:paraId="4BD618A0">
      <w:pPr>
        <w:rPr>
          <w:rFonts w:hint="eastAsia"/>
        </w:rPr>
      </w:pPr>
    </w:p>
    <w:p w14:paraId="43173565">
      <w:pPr>
        <w:pStyle w:val="13"/>
        <w:rPr>
          <w:rFonts w:hint="eastAsia"/>
        </w:rPr>
      </w:pPr>
    </w:p>
    <w:p w14:paraId="14E8A03A">
      <w:pPr>
        <w:rPr>
          <w:rFonts w:hint="eastAsia"/>
        </w:rPr>
      </w:pPr>
    </w:p>
    <w:p w14:paraId="71E9F6ED">
      <w:pPr>
        <w:pStyle w:val="13"/>
        <w:rPr>
          <w:rFonts w:hint="eastAsia"/>
        </w:rPr>
      </w:pPr>
    </w:p>
    <w:p w14:paraId="35A0652D">
      <w:pPr>
        <w:rPr>
          <w:rFonts w:hint="eastAsia"/>
        </w:rPr>
      </w:pPr>
    </w:p>
    <w:p w14:paraId="722C51D7">
      <w:pPr>
        <w:pStyle w:val="13"/>
        <w:rPr>
          <w:rFonts w:hint="eastAsia"/>
        </w:rPr>
      </w:pPr>
    </w:p>
    <w:p w14:paraId="45027FE6">
      <w:pPr>
        <w:rPr>
          <w:rFonts w:hint="eastAsia"/>
        </w:rPr>
      </w:pPr>
    </w:p>
    <w:p w14:paraId="2B2520E5">
      <w:pPr>
        <w:pStyle w:val="13"/>
        <w:rPr>
          <w:rFonts w:hint="eastAsia"/>
        </w:rPr>
      </w:pPr>
    </w:p>
    <w:p w14:paraId="12D89EA5">
      <w:pPr>
        <w:rPr>
          <w:rFonts w:hint="eastAsia"/>
        </w:rPr>
      </w:pPr>
    </w:p>
    <w:p w14:paraId="37880896">
      <w:pPr>
        <w:pStyle w:val="13"/>
        <w:rPr>
          <w:rFonts w:hint="eastAsia"/>
        </w:rPr>
      </w:pPr>
    </w:p>
    <w:p w14:paraId="0969E9E4">
      <w:pPr>
        <w:rPr>
          <w:rFonts w:hint="eastAsia"/>
        </w:rPr>
      </w:pPr>
    </w:p>
    <w:p w14:paraId="7211E305">
      <w:pPr>
        <w:pStyle w:val="13"/>
        <w:rPr>
          <w:rFonts w:hint="eastAsia"/>
        </w:rPr>
      </w:pPr>
    </w:p>
    <w:p w14:paraId="02574363">
      <w:pPr>
        <w:rPr>
          <w:rFonts w:hint="eastAsia"/>
        </w:rPr>
      </w:pPr>
    </w:p>
    <w:p w14:paraId="21B3B53D">
      <w:pPr>
        <w:rPr>
          <w:rFonts w:hint="eastAsia"/>
        </w:rPr>
      </w:pPr>
    </w:p>
    <w:p w14:paraId="59845ADB">
      <w:pPr>
        <w:pStyle w:val="13"/>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default" w:ascii="Times New Roman" w:hAnsi="Times New Roman" w:eastAsia="宋体" w:cs="Times New Roman"/>
                <w:sz w:val="28"/>
                <w:szCs w:val="28"/>
                <w:u w:val="none"/>
                <w:vertAlign w:val="baseline"/>
                <w:lang w:val="en-US" w:eastAsia="zh-CN"/>
              </w:rPr>
            </w:pPr>
            <w:r>
              <w:rPr>
                <w:rFonts w:hint="eastAsia" w:cs="Times New Roman"/>
                <w:sz w:val="28"/>
                <w:szCs w:val="28"/>
                <w:vertAlign w:val="baseline"/>
                <w:lang w:eastAsia="zh-CN"/>
              </w:rPr>
              <w:t>同意以每月</w:t>
            </w:r>
            <w:r>
              <w:rPr>
                <w:rFonts w:hint="eastAsia" w:cs="Times New Roman"/>
                <w:sz w:val="28"/>
                <w:szCs w:val="28"/>
                <w:u w:val="single"/>
                <w:vertAlign w:val="baseline"/>
                <w:lang w:val="en-US" w:eastAsia="zh-CN"/>
              </w:rPr>
              <w:t xml:space="preserve">     元</w:t>
            </w:r>
            <w:r>
              <w:rPr>
                <w:rFonts w:hint="eastAsia" w:cs="Times New Roman"/>
                <w:sz w:val="28"/>
                <w:szCs w:val="28"/>
                <w:u w:val="none"/>
                <w:vertAlign w:val="baseline"/>
                <w:lang w:val="en-US" w:eastAsia="zh-CN"/>
              </w:rPr>
              <w:t>管理费，水电费每月固定1000元，支付给医院</w:t>
            </w: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8"/>
        <w:numPr>
          <w:ilvl w:val="0"/>
          <w:numId w:val="0"/>
        </w:numPr>
        <w:ind w:leftChars="0"/>
        <w:rPr>
          <w:rFonts w:hint="eastAsia"/>
          <w:lang w:eastAsia="zh-CN"/>
        </w:rPr>
      </w:pPr>
    </w:p>
    <w:p w14:paraId="0D1B298F">
      <w:pPr>
        <w:rPr>
          <w:rFonts w:hint="eastAsia"/>
        </w:rPr>
      </w:pPr>
    </w:p>
    <w:p w14:paraId="47529DA3">
      <w:pPr>
        <w:pStyle w:val="8"/>
        <w:rPr>
          <w:rFonts w:hint="eastAsia"/>
        </w:rPr>
      </w:pPr>
    </w:p>
    <w:p w14:paraId="64890A62">
      <w:pPr>
        <w:rPr>
          <w:rFonts w:hint="eastAsia"/>
        </w:rPr>
      </w:pPr>
    </w:p>
    <w:p w14:paraId="7D3144DD">
      <w:pPr>
        <w:pStyle w:val="8"/>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8"/>
        <w:rPr>
          <w:rFonts w:hint="eastAsia"/>
        </w:rPr>
      </w:pPr>
    </w:p>
    <w:p w14:paraId="06D6B4F0">
      <w:pPr>
        <w:rPr>
          <w:rFonts w:hint="eastAsia"/>
        </w:rPr>
      </w:pPr>
    </w:p>
    <w:p w14:paraId="2FFCC2DD">
      <w:pPr>
        <w:pStyle w:val="8"/>
        <w:rPr>
          <w:rFonts w:hint="eastAsia"/>
        </w:rPr>
      </w:pPr>
    </w:p>
    <w:p w14:paraId="7C06F30A">
      <w:pPr>
        <w:rPr>
          <w:rFonts w:hint="eastAsia"/>
        </w:rPr>
      </w:pPr>
    </w:p>
    <w:p w14:paraId="3D0EF73A">
      <w:pPr>
        <w:pStyle w:val="8"/>
        <w:rPr>
          <w:rFonts w:hint="eastAsia"/>
        </w:rPr>
      </w:pPr>
    </w:p>
    <w:p w14:paraId="6E198FB7">
      <w:pPr>
        <w:rPr>
          <w:rFonts w:hint="eastAsia"/>
        </w:rPr>
      </w:pPr>
    </w:p>
    <w:p w14:paraId="5484F3B8">
      <w:pPr>
        <w:pStyle w:val="8"/>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3"/>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3"/>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10"/>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3"/>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4"/>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4"/>
              <w:rPr>
                <w:rFonts w:hint="eastAsia" w:ascii="宋体" w:hAnsi="宋体" w:eastAsia="宋体" w:cs="宋体"/>
                <w:b w:val="0"/>
                <w:bCs w:val="0"/>
                <w:sz w:val="24"/>
                <w:szCs w:val="24"/>
                <w:highlight w:val="none"/>
              </w:rPr>
            </w:pPr>
          </w:p>
        </w:tc>
        <w:tc>
          <w:tcPr>
            <w:tcW w:w="2486" w:type="dxa"/>
          </w:tcPr>
          <w:p w14:paraId="209DB621">
            <w:pPr>
              <w:pStyle w:val="24"/>
              <w:rPr>
                <w:rFonts w:hint="eastAsia" w:ascii="宋体" w:hAnsi="宋体" w:eastAsia="宋体" w:cs="宋体"/>
                <w:b w:val="0"/>
                <w:bCs w:val="0"/>
                <w:sz w:val="24"/>
                <w:szCs w:val="24"/>
                <w:highlight w:val="none"/>
              </w:rPr>
            </w:pPr>
          </w:p>
        </w:tc>
        <w:tc>
          <w:tcPr>
            <w:tcW w:w="2208" w:type="dxa"/>
          </w:tcPr>
          <w:p w14:paraId="0681EB2D">
            <w:pPr>
              <w:pStyle w:val="24"/>
              <w:rPr>
                <w:rFonts w:hint="eastAsia" w:ascii="宋体" w:hAnsi="宋体" w:eastAsia="宋体" w:cs="宋体"/>
                <w:b w:val="0"/>
                <w:bCs w:val="0"/>
                <w:sz w:val="24"/>
                <w:szCs w:val="24"/>
                <w:highlight w:val="none"/>
              </w:rPr>
            </w:pPr>
          </w:p>
        </w:tc>
        <w:tc>
          <w:tcPr>
            <w:tcW w:w="3012" w:type="dxa"/>
          </w:tcPr>
          <w:p w14:paraId="307F54FF">
            <w:pPr>
              <w:pStyle w:val="24"/>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4"/>
              <w:rPr>
                <w:rFonts w:hint="eastAsia" w:ascii="宋体" w:hAnsi="宋体" w:eastAsia="宋体" w:cs="宋体"/>
                <w:b w:val="0"/>
                <w:bCs w:val="0"/>
                <w:sz w:val="24"/>
                <w:szCs w:val="24"/>
                <w:highlight w:val="none"/>
              </w:rPr>
            </w:pPr>
          </w:p>
        </w:tc>
        <w:tc>
          <w:tcPr>
            <w:tcW w:w="2486" w:type="dxa"/>
          </w:tcPr>
          <w:p w14:paraId="59169C0E">
            <w:pPr>
              <w:pStyle w:val="24"/>
              <w:rPr>
                <w:rFonts w:hint="eastAsia" w:ascii="宋体" w:hAnsi="宋体" w:eastAsia="宋体" w:cs="宋体"/>
                <w:b w:val="0"/>
                <w:bCs w:val="0"/>
                <w:sz w:val="24"/>
                <w:szCs w:val="24"/>
                <w:highlight w:val="none"/>
              </w:rPr>
            </w:pPr>
          </w:p>
        </w:tc>
        <w:tc>
          <w:tcPr>
            <w:tcW w:w="2208" w:type="dxa"/>
          </w:tcPr>
          <w:p w14:paraId="3B891972">
            <w:pPr>
              <w:pStyle w:val="24"/>
              <w:rPr>
                <w:rFonts w:hint="eastAsia" w:ascii="宋体" w:hAnsi="宋体" w:eastAsia="宋体" w:cs="宋体"/>
                <w:b w:val="0"/>
                <w:bCs w:val="0"/>
                <w:sz w:val="24"/>
                <w:szCs w:val="24"/>
                <w:highlight w:val="none"/>
              </w:rPr>
            </w:pPr>
          </w:p>
        </w:tc>
        <w:tc>
          <w:tcPr>
            <w:tcW w:w="3012" w:type="dxa"/>
          </w:tcPr>
          <w:p w14:paraId="1F5219D7">
            <w:pPr>
              <w:pStyle w:val="24"/>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4"/>
              <w:rPr>
                <w:rFonts w:hint="eastAsia" w:ascii="宋体" w:hAnsi="宋体" w:eastAsia="宋体" w:cs="宋体"/>
                <w:b w:val="0"/>
                <w:bCs w:val="0"/>
                <w:sz w:val="24"/>
                <w:szCs w:val="24"/>
                <w:highlight w:val="none"/>
              </w:rPr>
            </w:pPr>
          </w:p>
        </w:tc>
        <w:tc>
          <w:tcPr>
            <w:tcW w:w="2486" w:type="dxa"/>
          </w:tcPr>
          <w:p w14:paraId="69F4DDBE">
            <w:pPr>
              <w:pStyle w:val="24"/>
              <w:rPr>
                <w:rFonts w:hint="eastAsia" w:ascii="宋体" w:hAnsi="宋体" w:eastAsia="宋体" w:cs="宋体"/>
                <w:b w:val="0"/>
                <w:bCs w:val="0"/>
                <w:sz w:val="24"/>
                <w:szCs w:val="24"/>
                <w:highlight w:val="none"/>
              </w:rPr>
            </w:pPr>
          </w:p>
        </w:tc>
        <w:tc>
          <w:tcPr>
            <w:tcW w:w="2208" w:type="dxa"/>
          </w:tcPr>
          <w:p w14:paraId="4F0E05FE">
            <w:pPr>
              <w:pStyle w:val="24"/>
              <w:rPr>
                <w:rFonts w:hint="eastAsia" w:ascii="宋体" w:hAnsi="宋体" w:eastAsia="宋体" w:cs="宋体"/>
                <w:b w:val="0"/>
                <w:bCs w:val="0"/>
                <w:sz w:val="24"/>
                <w:szCs w:val="24"/>
                <w:highlight w:val="none"/>
              </w:rPr>
            </w:pPr>
          </w:p>
        </w:tc>
        <w:tc>
          <w:tcPr>
            <w:tcW w:w="3012" w:type="dxa"/>
          </w:tcPr>
          <w:p w14:paraId="4574A036">
            <w:pPr>
              <w:pStyle w:val="24"/>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4"/>
              <w:rPr>
                <w:rFonts w:hint="eastAsia" w:ascii="宋体" w:hAnsi="宋体" w:eastAsia="宋体" w:cs="宋体"/>
                <w:b w:val="0"/>
                <w:bCs w:val="0"/>
                <w:sz w:val="24"/>
                <w:szCs w:val="24"/>
                <w:highlight w:val="none"/>
              </w:rPr>
            </w:pPr>
          </w:p>
        </w:tc>
        <w:tc>
          <w:tcPr>
            <w:tcW w:w="2486" w:type="dxa"/>
          </w:tcPr>
          <w:p w14:paraId="19D4EE74">
            <w:pPr>
              <w:pStyle w:val="24"/>
              <w:rPr>
                <w:rFonts w:hint="eastAsia" w:ascii="宋体" w:hAnsi="宋体" w:eastAsia="宋体" w:cs="宋体"/>
                <w:b w:val="0"/>
                <w:bCs w:val="0"/>
                <w:sz w:val="24"/>
                <w:szCs w:val="24"/>
                <w:highlight w:val="none"/>
              </w:rPr>
            </w:pPr>
          </w:p>
        </w:tc>
        <w:tc>
          <w:tcPr>
            <w:tcW w:w="2208" w:type="dxa"/>
          </w:tcPr>
          <w:p w14:paraId="170A8057">
            <w:pPr>
              <w:pStyle w:val="24"/>
              <w:rPr>
                <w:rFonts w:hint="eastAsia" w:ascii="宋体" w:hAnsi="宋体" w:eastAsia="宋体" w:cs="宋体"/>
                <w:b w:val="0"/>
                <w:bCs w:val="0"/>
                <w:sz w:val="24"/>
                <w:szCs w:val="24"/>
                <w:highlight w:val="none"/>
              </w:rPr>
            </w:pPr>
          </w:p>
        </w:tc>
        <w:tc>
          <w:tcPr>
            <w:tcW w:w="3012" w:type="dxa"/>
          </w:tcPr>
          <w:p w14:paraId="740AD56B">
            <w:pPr>
              <w:pStyle w:val="24"/>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4"/>
              <w:rPr>
                <w:rFonts w:hint="eastAsia" w:ascii="宋体" w:hAnsi="宋体" w:eastAsia="宋体" w:cs="宋体"/>
                <w:b w:val="0"/>
                <w:bCs w:val="0"/>
                <w:sz w:val="24"/>
                <w:szCs w:val="24"/>
                <w:highlight w:val="none"/>
              </w:rPr>
            </w:pPr>
          </w:p>
        </w:tc>
        <w:tc>
          <w:tcPr>
            <w:tcW w:w="2486" w:type="dxa"/>
          </w:tcPr>
          <w:p w14:paraId="7A6C6D6A">
            <w:pPr>
              <w:pStyle w:val="24"/>
              <w:rPr>
                <w:rFonts w:hint="eastAsia" w:ascii="宋体" w:hAnsi="宋体" w:eastAsia="宋体" w:cs="宋体"/>
                <w:b w:val="0"/>
                <w:bCs w:val="0"/>
                <w:sz w:val="24"/>
                <w:szCs w:val="24"/>
                <w:highlight w:val="none"/>
              </w:rPr>
            </w:pPr>
          </w:p>
        </w:tc>
        <w:tc>
          <w:tcPr>
            <w:tcW w:w="2208" w:type="dxa"/>
          </w:tcPr>
          <w:p w14:paraId="0F5E4219">
            <w:pPr>
              <w:pStyle w:val="24"/>
              <w:rPr>
                <w:rFonts w:hint="eastAsia" w:ascii="宋体" w:hAnsi="宋体" w:eastAsia="宋体" w:cs="宋体"/>
                <w:b w:val="0"/>
                <w:bCs w:val="0"/>
                <w:sz w:val="24"/>
                <w:szCs w:val="24"/>
                <w:highlight w:val="none"/>
              </w:rPr>
            </w:pPr>
          </w:p>
        </w:tc>
        <w:tc>
          <w:tcPr>
            <w:tcW w:w="3012" w:type="dxa"/>
          </w:tcPr>
          <w:p w14:paraId="7495E569">
            <w:pPr>
              <w:pStyle w:val="24"/>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4"/>
              <w:rPr>
                <w:rFonts w:hint="eastAsia" w:ascii="宋体" w:hAnsi="宋体" w:eastAsia="宋体" w:cs="宋体"/>
                <w:b w:val="0"/>
                <w:bCs w:val="0"/>
                <w:sz w:val="24"/>
                <w:szCs w:val="24"/>
                <w:highlight w:val="none"/>
              </w:rPr>
            </w:pPr>
          </w:p>
        </w:tc>
        <w:tc>
          <w:tcPr>
            <w:tcW w:w="2486" w:type="dxa"/>
          </w:tcPr>
          <w:p w14:paraId="7696C647">
            <w:pPr>
              <w:pStyle w:val="24"/>
              <w:rPr>
                <w:rFonts w:hint="eastAsia" w:ascii="宋体" w:hAnsi="宋体" w:eastAsia="宋体" w:cs="宋体"/>
                <w:b w:val="0"/>
                <w:bCs w:val="0"/>
                <w:sz w:val="24"/>
                <w:szCs w:val="24"/>
                <w:highlight w:val="none"/>
              </w:rPr>
            </w:pPr>
          </w:p>
        </w:tc>
        <w:tc>
          <w:tcPr>
            <w:tcW w:w="2208" w:type="dxa"/>
          </w:tcPr>
          <w:p w14:paraId="27796E58">
            <w:pPr>
              <w:pStyle w:val="24"/>
              <w:rPr>
                <w:rFonts w:hint="eastAsia" w:ascii="宋体" w:hAnsi="宋体" w:eastAsia="宋体" w:cs="宋体"/>
                <w:b w:val="0"/>
                <w:bCs w:val="0"/>
                <w:sz w:val="24"/>
                <w:szCs w:val="24"/>
                <w:highlight w:val="none"/>
              </w:rPr>
            </w:pPr>
          </w:p>
        </w:tc>
        <w:tc>
          <w:tcPr>
            <w:tcW w:w="3012" w:type="dxa"/>
          </w:tcPr>
          <w:p w14:paraId="7E712D03">
            <w:pPr>
              <w:pStyle w:val="24"/>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4"/>
              <w:rPr>
                <w:rFonts w:hint="eastAsia" w:ascii="宋体" w:hAnsi="宋体" w:eastAsia="宋体" w:cs="宋体"/>
                <w:b w:val="0"/>
                <w:bCs w:val="0"/>
                <w:sz w:val="24"/>
                <w:szCs w:val="24"/>
                <w:highlight w:val="none"/>
              </w:rPr>
            </w:pPr>
          </w:p>
        </w:tc>
        <w:tc>
          <w:tcPr>
            <w:tcW w:w="2486" w:type="dxa"/>
          </w:tcPr>
          <w:p w14:paraId="3D14F4E5">
            <w:pPr>
              <w:pStyle w:val="24"/>
              <w:rPr>
                <w:rFonts w:hint="eastAsia" w:ascii="宋体" w:hAnsi="宋体" w:eastAsia="宋体" w:cs="宋体"/>
                <w:b w:val="0"/>
                <w:bCs w:val="0"/>
                <w:sz w:val="24"/>
                <w:szCs w:val="24"/>
                <w:highlight w:val="none"/>
              </w:rPr>
            </w:pPr>
          </w:p>
        </w:tc>
        <w:tc>
          <w:tcPr>
            <w:tcW w:w="2208" w:type="dxa"/>
          </w:tcPr>
          <w:p w14:paraId="20F14534">
            <w:pPr>
              <w:pStyle w:val="24"/>
              <w:rPr>
                <w:rFonts w:hint="eastAsia" w:ascii="宋体" w:hAnsi="宋体" w:eastAsia="宋体" w:cs="宋体"/>
                <w:b w:val="0"/>
                <w:bCs w:val="0"/>
                <w:sz w:val="24"/>
                <w:szCs w:val="24"/>
                <w:highlight w:val="none"/>
              </w:rPr>
            </w:pPr>
          </w:p>
        </w:tc>
        <w:tc>
          <w:tcPr>
            <w:tcW w:w="3012" w:type="dxa"/>
          </w:tcPr>
          <w:p w14:paraId="3939167D">
            <w:pPr>
              <w:pStyle w:val="24"/>
              <w:rPr>
                <w:rFonts w:hint="eastAsia" w:ascii="宋体" w:hAnsi="宋体" w:eastAsia="宋体" w:cs="宋体"/>
                <w:b w:val="0"/>
                <w:bCs w:val="0"/>
                <w:sz w:val="24"/>
                <w:szCs w:val="24"/>
                <w:highlight w:val="none"/>
              </w:rPr>
            </w:pPr>
          </w:p>
        </w:tc>
      </w:tr>
    </w:tbl>
    <w:p w14:paraId="7C2E7577">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10"/>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3"/>
        <w:rPr>
          <w:rFonts w:hint="eastAsia"/>
        </w:rPr>
      </w:pPr>
    </w:p>
    <w:p w14:paraId="2B81FB40">
      <w:pPr>
        <w:rPr>
          <w:rFonts w:hint="eastAsia"/>
        </w:rPr>
      </w:pPr>
    </w:p>
    <w:p w14:paraId="4B2099D9">
      <w:pPr>
        <w:pStyle w:val="13"/>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095CB0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755B1C">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1B629613">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A142BC7">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447FCB0">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762F4DE6">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0119F9">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6EFB89E9">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3078F364">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0FC971B2">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D79F9E8">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63E0772">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附件十：拟投入该项目人员名单</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203"/>
        <w:gridCol w:w="1201"/>
        <w:gridCol w:w="1702"/>
        <w:gridCol w:w="944"/>
        <w:gridCol w:w="953"/>
        <w:gridCol w:w="1096"/>
      </w:tblGrid>
      <w:tr w14:paraId="1C27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558EF9DF">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类别</w:t>
            </w:r>
          </w:p>
        </w:tc>
        <w:tc>
          <w:tcPr>
            <w:tcW w:w="706" w:type="pct"/>
            <w:vMerge w:val="restart"/>
            <w:noWrap w:val="0"/>
            <w:vAlign w:val="center"/>
          </w:tcPr>
          <w:p w14:paraId="6EE0B90D">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职务</w:t>
            </w:r>
          </w:p>
        </w:tc>
        <w:tc>
          <w:tcPr>
            <w:tcW w:w="705" w:type="pct"/>
            <w:vMerge w:val="restart"/>
            <w:noWrap w:val="0"/>
            <w:vAlign w:val="center"/>
          </w:tcPr>
          <w:p w14:paraId="219321B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2755" w:type="pct"/>
            <w:gridSpan w:val="4"/>
            <w:noWrap w:val="0"/>
            <w:vAlign w:val="center"/>
          </w:tcPr>
          <w:p w14:paraId="0A725955">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资格证明</w:t>
            </w:r>
          </w:p>
        </w:tc>
      </w:tr>
      <w:tr w14:paraId="671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804033E">
            <w:pPr>
              <w:spacing w:line="360" w:lineRule="auto"/>
              <w:jc w:val="center"/>
              <w:rPr>
                <w:rFonts w:hint="eastAsia" w:asciiTheme="minorEastAsia" w:hAnsiTheme="minorEastAsia" w:eastAsiaTheme="minorEastAsia" w:cstheme="minorEastAsia"/>
                <w:sz w:val="18"/>
                <w:szCs w:val="18"/>
              </w:rPr>
            </w:pPr>
          </w:p>
        </w:tc>
        <w:tc>
          <w:tcPr>
            <w:tcW w:w="706" w:type="pct"/>
            <w:vMerge w:val="continue"/>
            <w:noWrap w:val="0"/>
            <w:vAlign w:val="center"/>
          </w:tcPr>
          <w:p w14:paraId="1CCA54CB">
            <w:pPr>
              <w:spacing w:line="360" w:lineRule="auto"/>
              <w:jc w:val="center"/>
              <w:rPr>
                <w:rFonts w:hint="eastAsia" w:asciiTheme="minorEastAsia" w:hAnsiTheme="minorEastAsia" w:eastAsiaTheme="minorEastAsia" w:cstheme="minorEastAsia"/>
                <w:sz w:val="18"/>
                <w:szCs w:val="18"/>
              </w:rPr>
            </w:pPr>
          </w:p>
        </w:tc>
        <w:tc>
          <w:tcPr>
            <w:tcW w:w="705" w:type="pct"/>
            <w:vMerge w:val="continue"/>
            <w:noWrap w:val="0"/>
            <w:vAlign w:val="center"/>
          </w:tcPr>
          <w:p w14:paraId="43744E5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E9CFF40">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证书名称</w:t>
            </w:r>
          </w:p>
        </w:tc>
        <w:tc>
          <w:tcPr>
            <w:tcW w:w="554" w:type="pct"/>
            <w:noWrap w:val="0"/>
            <w:vAlign w:val="center"/>
          </w:tcPr>
          <w:p w14:paraId="5AF428F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级别</w:t>
            </w:r>
          </w:p>
        </w:tc>
        <w:tc>
          <w:tcPr>
            <w:tcW w:w="559" w:type="pct"/>
            <w:noWrap w:val="0"/>
            <w:vAlign w:val="center"/>
          </w:tcPr>
          <w:p w14:paraId="3AC4DEE4">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证号</w:t>
            </w:r>
          </w:p>
        </w:tc>
        <w:tc>
          <w:tcPr>
            <w:tcW w:w="640" w:type="pct"/>
            <w:noWrap w:val="0"/>
            <w:vAlign w:val="center"/>
          </w:tcPr>
          <w:p w14:paraId="715638D7">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r>
      <w:tr w14:paraId="732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155E115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68E4E4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68BDB47F">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2CF34D6A">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2FB1E2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92467D7">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4BD6B5C3">
            <w:pPr>
              <w:spacing w:line="360" w:lineRule="auto"/>
              <w:jc w:val="center"/>
              <w:rPr>
                <w:rFonts w:hint="eastAsia" w:asciiTheme="minorEastAsia" w:hAnsiTheme="minorEastAsia" w:eastAsiaTheme="minorEastAsia" w:cstheme="minorEastAsia"/>
                <w:sz w:val="18"/>
                <w:szCs w:val="18"/>
              </w:rPr>
            </w:pPr>
          </w:p>
        </w:tc>
      </w:tr>
      <w:tr w14:paraId="6DE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EE882C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BC0131C">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7DDAD343">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B2E936D">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32F18AB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346EA82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9E5E8B0">
            <w:pPr>
              <w:spacing w:line="360" w:lineRule="auto"/>
              <w:jc w:val="center"/>
              <w:rPr>
                <w:rFonts w:hint="eastAsia" w:asciiTheme="minorEastAsia" w:hAnsiTheme="minorEastAsia" w:eastAsiaTheme="minorEastAsia" w:cstheme="minorEastAsia"/>
                <w:sz w:val="18"/>
                <w:szCs w:val="18"/>
              </w:rPr>
            </w:pPr>
          </w:p>
        </w:tc>
      </w:tr>
      <w:tr w14:paraId="238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FAE959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2EA4CD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015AF198">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DB4BD39">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5B6F8D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36127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82F1864">
            <w:pPr>
              <w:spacing w:line="360" w:lineRule="auto"/>
              <w:jc w:val="center"/>
              <w:rPr>
                <w:rFonts w:hint="eastAsia" w:asciiTheme="minorEastAsia" w:hAnsiTheme="minorEastAsia" w:eastAsiaTheme="minorEastAsia" w:cstheme="minorEastAsia"/>
                <w:sz w:val="18"/>
                <w:szCs w:val="18"/>
              </w:rPr>
            </w:pPr>
          </w:p>
        </w:tc>
      </w:tr>
      <w:tr w14:paraId="635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B497720">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9308A47">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F1742A2">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5CD66B96">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962FCCA">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A95ACF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A24969C">
            <w:pPr>
              <w:spacing w:line="360" w:lineRule="auto"/>
              <w:jc w:val="center"/>
              <w:rPr>
                <w:rFonts w:hint="eastAsia" w:asciiTheme="minorEastAsia" w:hAnsiTheme="minorEastAsia" w:eastAsiaTheme="minorEastAsia" w:cstheme="minorEastAsia"/>
                <w:sz w:val="18"/>
                <w:szCs w:val="18"/>
              </w:rPr>
            </w:pPr>
          </w:p>
        </w:tc>
      </w:tr>
      <w:tr w14:paraId="526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1CC698D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29308C6">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1AFB43A">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98A4041">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522347AB">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299D3E">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75636BB6">
            <w:pPr>
              <w:spacing w:line="360" w:lineRule="auto"/>
              <w:jc w:val="center"/>
              <w:rPr>
                <w:rFonts w:hint="eastAsia" w:asciiTheme="minorEastAsia" w:hAnsiTheme="minorEastAsia" w:eastAsiaTheme="minorEastAsia" w:cstheme="minorEastAsia"/>
                <w:sz w:val="18"/>
                <w:szCs w:val="18"/>
              </w:rPr>
            </w:pPr>
          </w:p>
        </w:tc>
      </w:tr>
      <w:tr w14:paraId="47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0D677BA9">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6B9420A">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13C3856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4F816A3F">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113DC3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27761E4">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6E700A5">
            <w:pPr>
              <w:spacing w:line="360" w:lineRule="auto"/>
              <w:jc w:val="center"/>
              <w:rPr>
                <w:rFonts w:hint="eastAsia" w:asciiTheme="minorEastAsia" w:hAnsiTheme="minorEastAsia" w:eastAsiaTheme="minorEastAsia" w:cstheme="minorEastAsia"/>
                <w:sz w:val="18"/>
                <w:szCs w:val="18"/>
              </w:rPr>
            </w:pPr>
          </w:p>
        </w:tc>
      </w:tr>
      <w:tr w14:paraId="1E2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37F698E">
            <w:pPr>
              <w:spacing w:line="360" w:lineRule="auto"/>
              <w:jc w:val="center"/>
              <w:rPr>
                <w:rFonts w:hint="eastAsia" w:ascii="宋体" w:hAnsi="宋体" w:cs="Arial"/>
              </w:rPr>
            </w:pPr>
          </w:p>
        </w:tc>
        <w:tc>
          <w:tcPr>
            <w:tcW w:w="706" w:type="pct"/>
            <w:noWrap w:val="0"/>
            <w:vAlign w:val="center"/>
          </w:tcPr>
          <w:p w14:paraId="29785168">
            <w:pPr>
              <w:spacing w:line="360" w:lineRule="auto"/>
              <w:jc w:val="center"/>
              <w:rPr>
                <w:rFonts w:hint="eastAsia" w:ascii="宋体" w:hAnsi="宋体" w:cs="Arial"/>
              </w:rPr>
            </w:pPr>
          </w:p>
        </w:tc>
        <w:tc>
          <w:tcPr>
            <w:tcW w:w="705" w:type="pct"/>
            <w:noWrap w:val="0"/>
            <w:vAlign w:val="center"/>
          </w:tcPr>
          <w:p w14:paraId="244096A8">
            <w:pPr>
              <w:spacing w:line="360" w:lineRule="auto"/>
              <w:jc w:val="center"/>
              <w:rPr>
                <w:rFonts w:hint="eastAsia" w:ascii="宋体" w:hAnsi="宋体" w:cs="Arial"/>
              </w:rPr>
            </w:pPr>
          </w:p>
        </w:tc>
        <w:tc>
          <w:tcPr>
            <w:tcW w:w="999" w:type="pct"/>
            <w:noWrap w:val="0"/>
            <w:vAlign w:val="center"/>
          </w:tcPr>
          <w:p w14:paraId="7C33A6F6">
            <w:pPr>
              <w:spacing w:line="360" w:lineRule="auto"/>
              <w:jc w:val="center"/>
              <w:rPr>
                <w:rFonts w:hint="eastAsia" w:ascii="宋体" w:hAnsi="宋体" w:cs="Arial"/>
              </w:rPr>
            </w:pPr>
          </w:p>
        </w:tc>
        <w:tc>
          <w:tcPr>
            <w:tcW w:w="554" w:type="pct"/>
            <w:noWrap w:val="0"/>
            <w:vAlign w:val="center"/>
          </w:tcPr>
          <w:p w14:paraId="2C07A309">
            <w:pPr>
              <w:spacing w:line="360" w:lineRule="auto"/>
              <w:jc w:val="center"/>
              <w:rPr>
                <w:rFonts w:hint="eastAsia" w:ascii="宋体" w:hAnsi="宋体" w:cs="Arial"/>
              </w:rPr>
            </w:pPr>
          </w:p>
        </w:tc>
        <w:tc>
          <w:tcPr>
            <w:tcW w:w="559" w:type="pct"/>
            <w:noWrap w:val="0"/>
            <w:vAlign w:val="center"/>
          </w:tcPr>
          <w:p w14:paraId="51B873B4">
            <w:pPr>
              <w:spacing w:line="360" w:lineRule="auto"/>
              <w:jc w:val="center"/>
              <w:rPr>
                <w:rFonts w:hint="eastAsia" w:ascii="宋体" w:hAnsi="宋体" w:cs="Arial"/>
              </w:rPr>
            </w:pPr>
          </w:p>
        </w:tc>
        <w:tc>
          <w:tcPr>
            <w:tcW w:w="640" w:type="pct"/>
            <w:noWrap w:val="0"/>
            <w:vAlign w:val="center"/>
          </w:tcPr>
          <w:p w14:paraId="1F158DB4">
            <w:pPr>
              <w:spacing w:line="360" w:lineRule="auto"/>
              <w:jc w:val="center"/>
              <w:rPr>
                <w:rFonts w:hint="eastAsia" w:ascii="宋体" w:hAnsi="宋体" w:cs="Arial"/>
              </w:rPr>
            </w:pPr>
          </w:p>
        </w:tc>
      </w:tr>
      <w:tr w14:paraId="063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0EF9756E">
            <w:pPr>
              <w:spacing w:line="360" w:lineRule="auto"/>
              <w:jc w:val="center"/>
              <w:rPr>
                <w:rFonts w:hint="eastAsia" w:ascii="宋体" w:hAnsi="宋体" w:cs="Arial"/>
              </w:rPr>
            </w:pPr>
          </w:p>
        </w:tc>
        <w:tc>
          <w:tcPr>
            <w:tcW w:w="706" w:type="pct"/>
            <w:noWrap w:val="0"/>
            <w:vAlign w:val="center"/>
          </w:tcPr>
          <w:p w14:paraId="06977CF6">
            <w:pPr>
              <w:spacing w:line="360" w:lineRule="auto"/>
              <w:jc w:val="center"/>
              <w:rPr>
                <w:rFonts w:hint="eastAsia" w:ascii="宋体" w:hAnsi="宋体" w:cs="Arial"/>
              </w:rPr>
            </w:pPr>
          </w:p>
        </w:tc>
        <w:tc>
          <w:tcPr>
            <w:tcW w:w="705" w:type="pct"/>
            <w:noWrap w:val="0"/>
            <w:vAlign w:val="center"/>
          </w:tcPr>
          <w:p w14:paraId="57D0E2DC">
            <w:pPr>
              <w:spacing w:line="360" w:lineRule="auto"/>
              <w:jc w:val="center"/>
              <w:rPr>
                <w:rFonts w:hint="eastAsia" w:ascii="宋体" w:hAnsi="宋体" w:cs="Arial"/>
              </w:rPr>
            </w:pPr>
          </w:p>
        </w:tc>
        <w:tc>
          <w:tcPr>
            <w:tcW w:w="999" w:type="pct"/>
            <w:noWrap w:val="0"/>
            <w:vAlign w:val="center"/>
          </w:tcPr>
          <w:p w14:paraId="3E28B5AC">
            <w:pPr>
              <w:spacing w:line="360" w:lineRule="auto"/>
              <w:jc w:val="center"/>
              <w:rPr>
                <w:rFonts w:hint="eastAsia" w:ascii="宋体" w:hAnsi="宋体" w:cs="Arial"/>
              </w:rPr>
            </w:pPr>
          </w:p>
        </w:tc>
        <w:tc>
          <w:tcPr>
            <w:tcW w:w="554" w:type="pct"/>
            <w:noWrap w:val="0"/>
            <w:vAlign w:val="center"/>
          </w:tcPr>
          <w:p w14:paraId="65DEE5EC">
            <w:pPr>
              <w:spacing w:line="360" w:lineRule="auto"/>
              <w:jc w:val="center"/>
              <w:rPr>
                <w:rFonts w:hint="eastAsia" w:ascii="宋体" w:hAnsi="宋体" w:cs="Arial"/>
              </w:rPr>
            </w:pPr>
          </w:p>
        </w:tc>
        <w:tc>
          <w:tcPr>
            <w:tcW w:w="559" w:type="pct"/>
            <w:noWrap w:val="0"/>
            <w:vAlign w:val="center"/>
          </w:tcPr>
          <w:p w14:paraId="4468A49E">
            <w:pPr>
              <w:spacing w:line="360" w:lineRule="auto"/>
              <w:jc w:val="center"/>
              <w:rPr>
                <w:rFonts w:hint="eastAsia" w:ascii="宋体" w:hAnsi="宋体" w:cs="Arial"/>
              </w:rPr>
            </w:pPr>
          </w:p>
        </w:tc>
        <w:tc>
          <w:tcPr>
            <w:tcW w:w="640" w:type="pct"/>
            <w:noWrap w:val="0"/>
            <w:vAlign w:val="center"/>
          </w:tcPr>
          <w:p w14:paraId="3394CBBC">
            <w:pPr>
              <w:spacing w:line="360" w:lineRule="auto"/>
              <w:jc w:val="center"/>
              <w:rPr>
                <w:rFonts w:hint="eastAsia" w:ascii="宋体" w:hAnsi="宋体" w:cs="Arial"/>
              </w:rPr>
            </w:pPr>
          </w:p>
        </w:tc>
      </w:tr>
      <w:tr w14:paraId="22A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5C14282">
            <w:pPr>
              <w:spacing w:line="360" w:lineRule="auto"/>
              <w:jc w:val="center"/>
              <w:rPr>
                <w:rFonts w:hint="eastAsia" w:ascii="宋体" w:hAnsi="宋体" w:cs="Arial"/>
              </w:rPr>
            </w:pPr>
          </w:p>
        </w:tc>
        <w:tc>
          <w:tcPr>
            <w:tcW w:w="706" w:type="pct"/>
            <w:noWrap w:val="0"/>
            <w:vAlign w:val="center"/>
          </w:tcPr>
          <w:p w14:paraId="0D0E38E0">
            <w:pPr>
              <w:spacing w:line="360" w:lineRule="auto"/>
              <w:jc w:val="center"/>
              <w:rPr>
                <w:rFonts w:hint="eastAsia" w:ascii="宋体" w:hAnsi="宋体" w:cs="Arial"/>
              </w:rPr>
            </w:pPr>
          </w:p>
        </w:tc>
        <w:tc>
          <w:tcPr>
            <w:tcW w:w="705" w:type="pct"/>
            <w:noWrap w:val="0"/>
            <w:vAlign w:val="center"/>
          </w:tcPr>
          <w:p w14:paraId="2F560162">
            <w:pPr>
              <w:spacing w:line="360" w:lineRule="auto"/>
              <w:jc w:val="center"/>
              <w:rPr>
                <w:rFonts w:hint="eastAsia" w:ascii="宋体" w:hAnsi="宋体" w:cs="Arial"/>
              </w:rPr>
            </w:pPr>
          </w:p>
        </w:tc>
        <w:tc>
          <w:tcPr>
            <w:tcW w:w="999" w:type="pct"/>
            <w:noWrap w:val="0"/>
            <w:vAlign w:val="center"/>
          </w:tcPr>
          <w:p w14:paraId="73114795">
            <w:pPr>
              <w:spacing w:line="360" w:lineRule="auto"/>
              <w:jc w:val="center"/>
              <w:rPr>
                <w:rFonts w:hint="eastAsia" w:ascii="宋体" w:hAnsi="宋体" w:cs="Arial"/>
              </w:rPr>
            </w:pPr>
          </w:p>
        </w:tc>
        <w:tc>
          <w:tcPr>
            <w:tcW w:w="554" w:type="pct"/>
            <w:noWrap w:val="0"/>
            <w:vAlign w:val="center"/>
          </w:tcPr>
          <w:p w14:paraId="53F8546B">
            <w:pPr>
              <w:spacing w:line="360" w:lineRule="auto"/>
              <w:jc w:val="center"/>
              <w:rPr>
                <w:rFonts w:hint="eastAsia" w:ascii="宋体" w:hAnsi="宋体" w:cs="Arial"/>
              </w:rPr>
            </w:pPr>
          </w:p>
        </w:tc>
        <w:tc>
          <w:tcPr>
            <w:tcW w:w="559" w:type="pct"/>
            <w:noWrap w:val="0"/>
            <w:vAlign w:val="center"/>
          </w:tcPr>
          <w:p w14:paraId="5DFF2DC5">
            <w:pPr>
              <w:spacing w:line="360" w:lineRule="auto"/>
              <w:jc w:val="center"/>
              <w:rPr>
                <w:rFonts w:hint="eastAsia" w:ascii="宋体" w:hAnsi="宋体" w:cs="Arial"/>
              </w:rPr>
            </w:pPr>
          </w:p>
        </w:tc>
        <w:tc>
          <w:tcPr>
            <w:tcW w:w="640" w:type="pct"/>
            <w:noWrap w:val="0"/>
            <w:vAlign w:val="center"/>
          </w:tcPr>
          <w:p w14:paraId="2AB87053">
            <w:pPr>
              <w:spacing w:line="360" w:lineRule="auto"/>
              <w:jc w:val="center"/>
              <w:rPr>
                <w:rFonts w:hint="eastAsia" w:ascii="宋体" w:hAnsi="宋体" w:cs="Arial"/>
              </w:rPr>
            </w:pPr>
          </w:p>
        </w:tc>
      </w:tr>
      <w:tr w14:paraId="0CD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4A8371E5">
            <w:pPr>
              <w:spacing w:line="360" w:lineRule="auto"/>
              <w:jc w:val="center"/>
              <w:rPr>
                <w:rFonts w:hint="eastAsia" w:ascii="宋体" w:hAnsi="宋体" w:cs="Arial"/>
              </w:rPr>
            </w:pPr>
          </w:p>
        </w:tc>
        <w:tc>
          <w:tcPr>
            <w:tcW w:w="706" w:type="pct"/>
            <w:noWrap w:val="0"/>
            <w:vAlign w:val="center"/>
          </w:tcPr>
          <w:p w14:paraId="5A1372E6">
            <w:pPr>
              <w:spacing w:line="360" w:lineRule="auto"/>
              <w:jc w:val="center"/>
              <w:rPr>
                <w:rFonts w:hint="eastAsia" w:ascii="宋体" w:hAnsi="宋体" w:cs="Arial"/>
              </w:rPr>
            </w:pPr>
          </w:p>
        </w:tc>
        <w:tc>
          <w:tcPr>
            <w:tcW w:w="705" w:type="pct"/>
            <w:noWrap w:val="0"/>
            <w:vAlign w:val="center"/>
          </w:tcPr>
          <w:p w14:paraId="7A6F8414">
            <w:pPr>
              <w:spacing w:line="360" w:lineRule="auto"/>
              <w:jc w:val="center"/>
              <w:rPr>
                <w:rFonts w:hint="eastAsia" w:ascii="宋体" w:hAnsi="宋体" w:cs="Arial"/>
              </w:rPr>
            </w:pPr>
          </w:p>
        </w:tc>
        <w:tc>
          <w:tcPr>
            <w:tcW w:w="999" w:type="pct"/>
            <w:noWrap w:val="0"/>
            <w:vAlign w:val="center"/>
          </w:tcPr>
          <w:p w14:paraId="42E1A914">
            <w:pPr>
              <w:spacing w:line="360" w:lineRule="auto"/>
              <w:jc w:val="center"/>
              <w:rPr>
                <w:rFonts w:hint="eastAsia" w:ascii="宋体" w:hAnsi="宋体" w:cs="Arial"/>
              </w:rPr>
            </w:pPr>
          </w:p>
        </w:tc>
        <w:tc>
          <w:tcPr>
            <w:tcW w:w="554" w:type="pct"/>
            <w:noWrap w:val="0"/>
            <w:vAlign w:val="center"/>
          </w:tcPr>
          <w:p w14:paraId="72225DD1">
            <w:pPr>
              <w:spacing w:line="360" w:lineRule="auto"/>
              <w:jc w:val="center"/>
              <w:rPr>
                <w:rFonts w:hint="eastAsia" w:ascii="宋体" w:hAnsi="宋体" w:cs="Arial"/>
              </w:rPr>
            </w:pPr>
          </w:p>
        </w:tc>
        <w:tc>
          <w:tcPr>
            <w:tcW w:w="559" w:type="pct"/>
            <w:noWrap w:val="0"/>
            <w:vAlign w:val="center"/>
          </w:tcPr>
          <w:p w14:paraId="10469793">
            <w:pPr>
              <w:spacing w:line="360" w:lineRule="auto"/>
              <w:jc w:val="center"/>
              <w:rPr>
                <w:rFonts w:hint="eastAsia" w:ascii="宋体" w:hAnsi="宋体" w:cs="Arial"/>
              </w:rPr>
            </w:pPr>
          </w:p>
        </w:tc>
        <w:tc>
          <w:tcPr>
            <w:tcW w:w="640" w:type="pct"/>
            <w:noWrap w:val="0"/>
            <w:vAlign w:val="center"/>
          </w:tcPr>
          <w:p w14:paraId="518FE871">
            <w:pPr>
              <w:spacing w:line="360" w:lineRule="auto"/>
              <w:jc w:val="center"/>
              <w:rPr>
                <w:rFonts w:hint="eastAsia" w:ascii="宋体" w:hAnsi="宋体" w:cs="Arial"/>
              </w:rPr>
            </w:pPr>
          </w:p>
        </w:tc>
      </w:tr>
    </w:tbl>
    <w:p w14:paraId="1DD132D3">
      <w:pPr>
        <w:pStyle w:val="6"/>
        <w:rPr>
          <w:rFonts w:hint="eastAsia"/>
          <w:lang w:val="en-US" w:eastAsia="zh-CN"/>
        </w:rPr>
      </w:pPr>
    </w:p>
    <w:p w14:paraId="33E2E0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7B29CF7C">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注：</w:t>
      </w:r>
      <w:r>
        <w:rPr>
          <w:rFonts w:hint="eastAsia" w:ascii="宋体" w:hAnsi="宋体" w:eastAsia="宋体" w:cs="宋体"/>
          <w:kern w:val="2"/>
          <w:sz w:val="24"/>
          <w:szCs w:val="24"/>
          <w:lang w:val="en-US" w:eastAsia="zh-CN" w:bidi="ar-SA"/>
        </w:rPr>
        <w:t>投标人须在投标文件中提供对应人员的上述证书、身份证复印件并加盖投标人公章。（证件附在名单后）</w:t>
      </w:r>
    </w:p>
    <w:p w14:paraId="1047A67C">
      <w:pPr>
        <w:pStyle w:val="6"/>
        <w:widowControl w:val="0"/>
        <w:numPr>
          <w:ilvl w:val="0"/>
          <w:numId w:val="0"/>
        </w:numPr>
        <w:jc w:val="both"/>
        <w:rPr>
          <w:rFonts w:hint="eastAsia"/>
          <w:lang w:val="en-US" w:eastAsia="zh-CN"/>
        </w:rPr>
      </w:pPr>
    </w:p>
    <w:p w14:paraId="0BAF802A">
      <w:pPr>
        <w:rPr>
          <w:rFonts w:hint="eastAsia"/>
          <w:lang w:val="en-US" w:eastAsia="zh-CN"/>
        </w:rPr>
      </w:pPr>
    </w:p>
    <w:p w14:paraId="0DC9CE7A">
      <w:pPr>
        <w:pStyle w:val="6"/>
        <w:rPr>
          <w:rFonts w:hint="eastAsia"/>
          <w:lang w:val="en-US" w:eastAsia="zh-CN"/>
        </w:rPr>
      </w:pPr>
    </w:p>
    <w:p w14:paraId="397CBC74">
      <w:pPr>
        <w:rPr>
          <w:rFonts w:hint="eastAsia"/>
          <w:lang w:val="en-US" w:eastAsia="zh-CN"/>
        </w:rPr>
      </w:pPr>
    </w:p>
    <w:p w14:paraId="4492D8F5">
      <w:pPr>
        <w:pStyle w:val="6"/>
        <w:rPr>
          <w:rFonts w:hint="eastAsia"/>
          <w:lang w:val="en-US" w:eastAsia="zh-CN"/>
        </w:rPr>
      </w:pPr>
    </w:p>
    <w:p w14:paraId="2004CA9F">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25CB6BCB">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6793E8FE">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25C87A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F9DE5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both"/>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2779A49B">
      <w:pPr>
        <w:pStyle w:val="6"/>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DEC6756">
      <w:pP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422D2228">
      <w:pPr>
        <w:pStyle w:val="6"/>
        <w:rPr>
          <w:rFonts w:hint="eastAsia"/>
          <w:lang w:val="en-US" w:eastAsia="zh-CN"/>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附件十一：</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w:t>
      </w:r>
      <w:r>
        <w:rPr>
          <w:rStyle w:val="19"/>
          <w:rFonts w:hint="eastAsia" w:ascii="宋体" w:hAnsi="宋体" w:cs="宋体"/>
          <w:b/>
          <w:bCs/>
          <w:i w:val="0"/>
          <w:iCs w:val="0"/>
          <w:caps w:val="0"/>
          <w:color w:val="auto"/>
          <w:spacing w:val="0"/>
          <w:kern w:val="0"/>
          <w:sz w:val="24"/>
          <w:szCs w:val="24"/>
          <w:shd w:val="clear" w:color="auto" w:fill="FFFFFF"/>
          <w:lang w:val="en-US" w:eastAsia="zh-CN" w:bidi="ar"/>
        </w:rPr>
        <w:t>售后</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服务</w:t>
      </w:r>
      <w:r>
        <w:rPr>
          <w:rStyle w:val="19"/>
          <w:rFonts w:hint="eastAsia" w:ascii="宋体" w:hAnsi="宋体" w:cs="宋体"/>
          <w:b/>
          <w:bCs/>
          <w:i w:val="0"/>
          <w:iCs w:val="0"/>
          <w:caps w:val="0"/>
          <w:color w:val="auto"/>
          <w:spacing w:val="0"/>
          <w:kern w:val="0"/>
          <w:sz w:val="24"/>
          <w:szCs w:val="24"/>
          <w:shd w:val="clear" w:color="auto" w:fill="FFFFFF"/>
          <w:lang w:val="en-US" w:eastAsia="zh-CN" w:bidi="ar"/>
        </w:rPr>
        <w:t>方案等</w:t>
      </w:r>
    </w:p>
    <w:p w14:paraId="262D12C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24"/>
          <w:szCs w:val="24"/>
          <w:shd w:val="clear" w:color="auto" w:fill="FFFFFF"/>
          <w:lang w:eastAsia="zh-CN"/>
        </w:rPr>
      </w:pPr>
      <w:r>
        <w:rPr>
          <w:rStyle w:val="19"/>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宋体" w:hAnsi="宋体" w:eastAsia="宋体" w:cs="宋体"/>
          <w:b/>
          <w:bCs/>
          <w:i w:val="0"/>
          <w:iCs w:val="0"/>
          <w:caps w:val="0"/>
          <w:color w:val="auto"/>
          <w:spacing w:val="0"/>
          <w:sz w:val="24"/>
          <w:szCs w:val="24"/>
          <w:shd w:val="clear" w:color="auto" w:fill="FFFFFF"/>
        </w:rPr>
      </w:pPr>
      <w:r>
        <w:rPr>
          <w:rStyle w:val="19"/>
          <w:rFonts w:hint="eastAsia" w:cs="宋体"/>
          <w:b/>
          <w:bCs/>
          <w:i w:val="0"/>
          <w:iCs w:val="0"/>
          <w:caps w:val="0"/>
          <w:color w:val="auto"/>
          <w:spacing w:val="0"/>
          <w:sz w:val="24"/>
          <w:szCs w:val="24"/>
          <w:shd w:val="clear" w:color="auto" w:fill="FFFFFF"/>
          <w:lang w:eastAsia="zh-CN"/>
        </w:rPr>
        <w:t>附件十二：</w:t>
      </w:r>
      <w:r>
        <w:rPr>
          <w:rStyle w:val="19"/>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9"/>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3"/>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9"/>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8"/>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8"/>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8"/>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8"/>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8"/>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8"/>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8"/>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8"/>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8"/>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8"/>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8"/>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8"/>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8"/>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8"/>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8"/>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8"/>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8"/>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8"/>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8"/>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8"/>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9"/>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8"/>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8"/>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8"/>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8"/>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8"/>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8"/>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8"/>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8"/>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8"/>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8"/>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8"/>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highlight w:val="none"/>
              </w:rPr>
              <w:t>只能在最高限价内报价，只能有一个有效报价，不得</w:t>
            </w:r>
            <w:r>
              <w:rPr>
                <w:rFonts w:hint="eastAsia" w:asciiTheme="minorEastAsia" w:hAnsiTheme="minorEastAsia" w:eastAsiaTheme="minorEastAsia" w:cstheme="minorEastAsia"/>
                <w:sz w:val="24"/>
                <w:szCs w:val="24"/>
                <w:highlight w:val="none"/>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8"/>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8"/>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8"/>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8"/>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8"/>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8"/>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8"/>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8"/>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8"/>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8"/>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8"/>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8"/>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2" w:firstLineChars="20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注：若未通过资格审查及符合性审查的</w:t>
      </w:r>
      <w:r>
        <w:rPr>
          <w:rFonts w:hint="eastAsia" w:asciiTheme="minorEastAsia" w:hAnsiTheme="minorEastAsia" w:eastAsiaTheme="minorEastAsia" w:cstheme="minorEastAsia"/>
          <w:b/>
          <w:bCs/>
          <w:i w:val="0"/>
          <w:iCs w:val="0"/>
          <w:caps w:val="0"/>
          <w:color w:val="auto"/>
          <w:spacing w:val="0"/>
          <w:sz w:val="24"/>
          <w:szCs w:val="24"/>
          <w:shd w:val="clear" w:fill="FFFFFF"/>
          <w:lang w:eastAsia="zh-CN"/>
        </w:rPr>
        <w:t>响应</w:t>
      </w:r>
      <w:r>
        <w:rPr>
          <w:rFonts w:hint="eastAsia" w:asciiTheme="minorEastAsia" w:hAnsiTheme="minorEastAsia" w:eastAsiaTheme="minorEastAsia" w:cstheme="minorEastAsia"/>
          <w:b/>
          <w:bCs/>
          <w:i w:val="0"/>
          <w:iCs w:val="0"/>
          <w:caps w:val="0"/>
          <w:color w:val="auto"/>
          <w:spacing w:val="0"/>
          <w:sz w:val="24"/>
          <w:szCs w:val="24"/>
          <w:shd w:val="clear" w:fill="FFFFFF"/>
        </w:rPr>
        <w:t>文件，不进入评审环节。</w:t>
      </w:r>
    </w:p>
    <w:p w14:paraId="7907FD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9"/>
          <w:rFonts w:hint="eastAsia" w:asciiTheme="minorEastAsia" w:hAnsiTheme="minorEastAsia" w:eastAsiaTheme="minorEastAsia" w:cstheme="minorEastAsia"/>
          <w:i w:val="0"/>
          <w:iCs w:val="0"/>
          <w:caps w:val="0"/>
          <w:color w:val="000000"/>
          <w:spacing w:val="0"/>
          <w:sz w:val="24"/>
          <w:szCs w:val="24"/>
          <w:shd w:val="clear" w:fill="FFFFFF"/>
        </w:rPr>
        <w:t>评</w:t>
      </w: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9"/>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firstLine="720" w:firstLineChars="300"/>
        <w:jc w:val="both"/>
        <w:rPr>
          <w:rFonts w:hint="eastAsia"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本项目采用的评审方法：通过资格审查的供应商，响应文件满足采购文件全部实质性要求前提下，按照报价从高到低排序，报价最高为中选单位。如遇最高报价相同，则再次进行报价。</w:t>
      </w:r>
    </w:p>
    <w:p w14:paraId="618B47A3">
      <w:pPr>
        <w:pStyle w:val="21"/>
        <w:rPr>
          <w:rFonts w:hint="eastAsia"/>
          <w:lang w:val="en-US" w:eastAsia="zh-CN"/>
        </w:rPr>
      </w:pPr>
    </w:p>
    <w:p w14:paraId="3A3F3CCC">
      <w:pPr>
        <w:pStyle w:val="11"/>
        <w:rPr>
          <w:rFonts w:hint="eastAsia"/>
          <w:lang w:val="en-US" w:eastAsia="zh-CN"/>
        </w:rPr>
      </w:pPr>
    </w:p>
    <w:p w14:paraId="1E211DDB">
      <w:pPr>
        <w:pStyle w:val="11"/>
        <w:rPr>
          <w:rFonts w:hint="eastAsia"/>
          <w:lang w:val="en-US" w:eastAsia="zh-CN"/>
        </w:rPr>
      </w:pPr>
    </w:p>
    <w:p w14:paraId="7B654DF2">
      <w:pPr>
        <w:pStyle w:val="11"/>
        <w:rPr>
          <w:rFonts w:hint="eastAsia"/>
          <w:lang w:val="en-US" w:eastAsia="zh-CN"/>
        </w:rPr>
      </w:pPr>
    </w:p>
    <w:p w14:paraId="5ABAA77E">
      <w:pPr>
        <w:pStyle w:val="11"/>
        <w:rPr>
          <w:rFonts w:hint="eastAsia"/>
          <w:lang w:val="en-US" w:eastAsia="zh-CN"/>
        </w:rPr>
      </w:pPr>
    </w:p>
    <w:p w14:paraId="7FB7A360">
      <w:pPr>
        <w:pStyle w:val="11"/>
        <w:rPr>
          <w:rFonts w:hint="eastAsia"/>
          <w:lang w:val="en-US" w:eastAsia="zh-CN"/>
        </w:rPr>
      </w:pPr>
    </w:p>
    <w:p w14:paraId="37B0580F">
      <w:pPr>
        <w:pStyle w:val="11"/>
        <w:rPr>
          <w:rFonts w:hint="eastAsia"/>
          <w:lang w:val="en-US" w:eastAsia="zh-CN"/>
        </w:rPr>
      </w:pPr>
    </w:p>
    <w:p w14:paraId="03FCDCC4">
      <w:pPr>
        <w:pStyle w:val="11"/>
        <w:rPr>
          <w:rFonts w:hint="eastAsia"/>
          <w:lang w:val="en-US" w:eastAsia="zh-CN"/>
        </w:rPr>
      </w:pPr>
    </w:p>
    <w:p w14:paraId="629248DA">
      <w:pPr>
        <w:pStyle w:val="11"/>
        <w:rPr>
          <w:rFonts w:hint="eastAsia"/>
          <w:lang w:val="en-US" w:eastAsia="zh-CN"/>
        </w:rPr>
      </w:pPr>
    </w:p>
    <w:p w14:paraId="48689E49">
      <w:pPr>
        <w:pStyle w:val="11"/>
        <w:rPr>
          <w:rFonts w:hint="eastAsia"/>
          <w:lang w:val="en-US" w:eastAsia="zh-CN"/>
        </w:rPr>
      </w:pPr>
    </w:p>
    <w:p w14:paraId="066D3E6C">
      <w:pPr>
        <w:pStyle w:val="11"/>
        <w:rPr>
          <w:rFonts w:hint="eastAsia"/>
          <w:lang w:val="en-US" w:eastAsia="zh-CN"/>
        </w:rPr>
      </w:pPr>
    </w:p>
    <w:p w14:paraId="6D32403D">
      <w:pPr>
        <w:pStyle w:val="11"/>
        <w:rPr>
          <w:rFonts w:hint="eastAsia"/>
          <w:lang w:val="en-US" w:eastAsia="zh-CN"/>
        </w:rPr>
      </w:pPr>
    </w:p>
    <w:p w14:paraId="15E349A1">
      <w:pPr>
        <w:pStyle w:val="11"/>
        <w:rPr>
          <w:rFonts w:hint="eastAsia"/>
          <w:lang w:val="en-US" w:eastAsia="zh-CN"/>
        </w:rPr>
      </w:pPr>
    </w:p>
    <w:p w14:paraId="6BDA0EF5">
      <w:pPr>
        <w:pStyle w:val="11"/>
        <w:rPr>
          <w:rFonts w:hint="eastAsia"/>
          <w:lang w:val="en-US" w:eastAsia="zh-CN"/>
        </w:rPr>
      </w:pPr>
    </w:p>
    <w:p w14:paraId="5B9B0B94">
      <w:pPr>
        <w:pStyle w:val="11"/>
        <w:rPr>
          <w:rFonts w:hint="eastAsia"/>
          <w:lang w:val="en-US" w:eastAsia="zh-CN"/>
        </w:rPr>
      </w:pPr>
    </w:p>
    <w:p w14:paraId="4A5B386C">
      <w:pPr>
        <w:pStyle w:val="11"/>
        <w:rPr>
          <w:rFonts w:hint="eastAsia"/>
          <w:lang w:val="en-US" w:eastAsia="zh-CN"/>
        </w:rPr>
      </w:pPr>
    </w:p>
    <w:p w14:paraId="3530FFC0">
      <w:pPr>
        <w:pStyle w:val="11"/>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11"/>
      <w:jc w:val="center"/>
    </w:pPr>
  </w:p>
  <w:p w14:paraId="230A4B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11"/>
      <w:jc w:val="center"/>
    </w:pPr>
  </w:p>
  <w:p w14:paraId="67F23A8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jkzYjBlZDJmMzYzYTc1OWM1Yzk3MmM1ZTI3MTYifQ=="/>
  </w:docVars>
  <w:rsids>
    <w:rsidRoot w:val="257C72E1"/>
    <w:rsid w:val="02782D6B"/>
    <w:rsid w:val="06047E0A"/>
    <w:rsid w:val="074A419E"/>
    <w:rsid w:val="097D2F0D"/>
    <w:rsid w:val="0B495EAF"/>
    <w:rsid w:val="0B7F1787"/>
    <w:rsid w:val="0C745A84"/>
    <w:rsid w:val="0DCD038A"/>
    <w:rsid w:val="0E796E97"/>
    <w:rsid w:val="10ED13B5"/>
    <w:rsid w:val="13E7676D"/>
    <w:rsid w:val="147333BD"/>
    <w:rsid w:val="1772678E"/>
    <w:rsid w:val="178A63C4"/>
    <w:rsid w:val="190E6B38"/>
    <w:rsid w:val="1A70502E"/>
    <w:rsid w:val="1B650AE3"/>
    <w:rsid w:val="1CB347A4"/>
    <w:rsid w:val="1F0638F5"/>
    <w:rsid w:val="1FFC78A6"/>
    <w:rsid w:val="205B4263"/>
    <w:rsid w:val="21026DD4"/>
    <w:rsid w:val="237F7B8B"/>
    <w:rsid w:val="244B7278"/>
    <w:rsid w:val="25203C4B"/>
    <w:rsid w:val="2526006F"/>
    <w:rsid w:val="254E1876"/>
    <w:rsid w:val="257C72E1"/>
    <w:rsid w:val="258C715B"/>
    <w:rsid w:val="25AE5B8C"/>
    <w:rsid w:val="262557C8"/>
    <w:rsid w:val="27D37276"/>
    <w:rsid w:val="27F9176B"/>
    <w:rsid w:val="291458F7"/>
    <w:rsid w:val="2A9B5B59"/>
    <w:rsid w:val="2B35658D"/>
    <w:rsid w:val="2C077995"/>
    <w:rsid w:val="313B7751"/>
    <w:rsid w:val="32A33252"/>
    <w:rsid w:val="39897C3B"/>
    <w:rsid w:val="3A39358D"/>
    <w:rsid w:val="3B06492D"/>
    <w:rsid w:val="3CEF76C4"/>
    <w:rsid w:val="3F397DD7"/>
    <w:rsid w:val="3F89361E"/>
    <w:rsid w:val="462A24BE"/>
    <w:rsid w:val="489973AA"/>
    <w:rsid w:val="4AE86B03"/>
    <w:rsid w:val="4C3C0B3D"/>
    <w:rsid w:val="4DC70A17"/>
    <w:rsid w:val="4E37780E"/>
    <w:rsid w:val="4EF374F3"/>
    <w:rsid w:val="52E71802"/>
    <w:rsid w:val="53D61877"/>
    <w:rsid w:val="56A9052A"/>
    <w:rsid w:val="5D094E38"/>
    <w:rsid w:val="5D8B63DD"/>
    <w:rsid w:val="5E031138"/>
    <w:rsid w:val="5FA01F3C"/>
    <w:rsid w:val="60FB46CB"/>
    <w:rsid w:val="61092FFD"/>
    <w:rsid w:val="61221EB7"/>
    <w:rsid w:val="61A979D6"/>
    <w:rsid w:val="63C0498B"/>
    <w:rsid w:val="64EF6FEA"/>
    <w:rsid w:val="67135F0F"/>
    <w:rsid w:val="683A684B"/>
    <w:rsid w:val="6C17725F"/>
    <w:rsid w:val="6D853C9A"/>
    <w:rsid w:val="6E315BD0"/>
    <w:rsid w:val="6ECE1671"/>
    <w:rsid w:val="709A7A5C"/>
    <w:rsid w:val="7308054B"/>
    <w:rsid w:val="767E1BCE"/>
    <w:rsid w:val="76B15B00"/>
    <w:rsid w:val="77032DF7"/>
    <w:rsid w:val="787D3C68"/>
    <w:rsid w:val="79792A79"/>
    <w:rsid w:val="79D0629D"/>
    <w:rsid w:val="7A7255A6"/>
    <w:rsid w:val="7BB2194B"/>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caption"/>
    <w:basedOn w:val="1"/>
    <w:next w:val="1"/>
    <w:qFormat/>
    <w:uiPriority w:val="0"/>
    <w:rPr>
      <w:rFonts w:ascii="Cambria" w:hAnsi="Cambria" w:eastAsia="黑体" w:cs="Droid Sans"/>
      <w:sz w:val="20"/>
      <w:szCs w:val="20"/>
    </w:rPr>
  </w:style>
  <w:style w:type="paragraph" w:styleId="7">
    <w:name w:val="Document Map"/>
    <w:basedOn w:val="1"/>
    <w:qFormat/>
    <w:uiPriority w:val="99"/>
    <w:rPr>
      <w:rFonts w:ascii="宋体"/>
      <w:sz w:val="18"/>
      <w:szCs w:val="18"/>
    </w:rPr>
  </w:style>
  <w:style w:type="paragraph" w:styleId="8">
    <w:name w:val="Body Text"/>
    <w:basedOn w:val="1"/>
    <w:next w:val="9"/>
    <w:qFormat/>
    <w:uiPriority w:val="0"/>
    <w:pPr>
      <w:spacing w:after="120"/>
    </w:pPr>
    <w:rPr>
      <w:rFonts w:ascii="Calibri" w:hAnsi="Calibri" w:cs="Times New Roman"/>
    </w:rPr>
  </w:style>
  <w:style w:type="paragraph" w:styleId="9">
    <w:name w:val="Body Text First Indent"/>
    <w:basedOn w:val="8"/>
    <w:next w:val="1"/>
    <w:unhideWhenUsed/>
    <w:qFormat/>
    <w:uiPriority w:val="99"/>
    <w:pPr>
      <w:ind w:firstLine="420" w:firstLineChars="100"/>
    </w:pPr>
  </w:style>
  <w:style w:type="paragraph" w:styleId="10">
    <w:name w:val="Plain Text"/>
    <w:basedOn w:val="1"/>
    <w:qFormat/>
    <w:uiPriority w:val="0"/>
    <w:rPr>
      <w:rFonts w:ascii="宋体" w:hAnsi="Courier New" w:cs="宋体"/>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4">
    <w:name w:val="Subtitle"/>
    <w:basedOn w:val="1"/>
    <w:qFormat/>
    <w:uiPriority w:val="0"/>
    <w:rPr>
      <w:kern w:val="2"/>
      <w:sz w:val="2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u w:val="single"/>
    </w:rPr>
  </w:style>
  <w:style w:type="paragraph" w:customStyle="1" w:styleId="21">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customStyle="1" w:styleId="23">
    <w:name w:val="_正文段落"/>
    <w:basedOn w:val="1"/>
    <w:qFormat/>
    <w:uiPriority w:val="0"/>
    <w:pPr>
      <w:spacing w:line="360" w:lineRule="auto"/>
    </w:pPr>
    <w:rPr>
      <w:rFonts w:eastAsia="仿宋_GB2312"/>
      <w:sz w:val="28"/>
      <w:szCs w:val="24"/>
    </w:rPr>
  </w:style>
  <w:style w:type="paragraph" w:customStyle="1" w:styleId="24">
    <w:name w:val="表格"/>
    <w:basedOn w:val="1"/>
    <w:qFormat/>
    <w:uiPriority w:val="0"/>
    <w:pPr>
      <w:spacing w:line="400" w:lineRule="exact"/>
    </w:pPr>
    <w:rPr>
      <w:sz w:val="24"/>
      <w:szCs w:val="24"/>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01"/>
    <w:basedOn w:val="18"/>
    <w:qFormat/>
    <w:uiPriority w:val="0"/>
    <w:rPr>
      <w:rFonts w:hint="eastAsia" w:ascii="宋体" w:hAnsi="宋体" w:eastAsia="宋体" w:cs="宋体"/>
      <w:color w:val="000000"/>
      <w:sz w:val="22"/>
      <w:szCs w:val="22"/>
      <w:u w:val="none"/>
    </w:rPr>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8">
    <w:name w:val="Table Text"/>
    <w:basedOn w:val="1"/>
    <w:semiHidden/>
    <w:qFormat/>
    <w:uiPriority w:val="0"/>
    <w:rPr>
      <w:rFonts w:ascii="宋体" w:hAnsi="宋体" w:eastAsia="宋体" w:cs="宋体"/>
      <w:sz w:val="17"/>
      <w:szCs w:val="1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5587</Words>
  <Characters>5909</Characters>
  <Lines>0</Lines>
  <Paragraphs>0</Paragraphs>
  <TotalTime>16</TotalTime>
  <ScaleCrop>false</ScaleCrop>
  <LinksUpToDate>false</LinksUpToDate>
  <CharactersWithSpaces>6441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2026-07-06T07:33:09Z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70BCCD1AAC604844A779814F2B6AFCC7_13</vt:lpwstr>
  </property>
  <property fmtid="{D5CDD505-2E9C-101B-9397-08002B2CF9AE}" pid="4" name="KSOTemplateDocerSaveRecord">
    <vt:lpwstr>eyJoZGlkIjoiMWU5NjNjMGEzYjgxN2ZkODZiMmM5ZDg3YzJlMDczMmIiLCJ1c2VySWQiOiIxNzUwNTYzNDQyIn0=</vt:lpwstr>
  </property>
</Properties>
</file>